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7E19B" w14:textId="0C632DC2" w:rsidR="00134752" w:rsidRPr="00424AB2" w:rsidRDefault="00134752">
      <w:pPr>
        <w:jc w:val="center"/>
        <w:rPr>
          <w:rFonts w:ascii="Century Schoolbook" w:hAnsi="Century Schoolbook"/>
          <w:bCs/>
          <w:sz w:val="26"/>
          <w:szCs w:val="26"/>
        </w:rPr>
      </w:pPr>
      <w:r w:rsidRPr="00424AB2">
        <w:rPr>
          <w:rFonts w:ascii="Century Schoolbook" w:hAnsi="Century Schoolbook"/>
          <w:bCs/>
          <w:sz w:val="26"/>
          <w:szCs w:val="26"/>
        </w:rPr>
        <w:t xml:space="preserve">No. </w:t>
      </w:r>
      <w:r w:rsidR="00836394" w:rsidRPr="00836394">
        <w:rPr>
          <w:rFonts w:ascii="Century Schoolbook" w:hAnsi="Century Schoolbook"/>
          <w:bCs/>
          <w:sz w:val="26"/>
          <w:szCs w:val="26"/>
        </w:rPr>
        <w:t>25-2808</w:t>
      </w:r>
    </w:p>
    <w:p w14:paraId="4BE6E095" w14:textId="53527902" w:rsidR="00134752" w:rsidRPr="00424AB2" w:rsidRDefault="00134752">
      <w:pPr>
        <w:rPr>
          <w:rFonts w:ascii="Century Schoolbook" w:hAnsi="Century Schoolbook"/>
          <w:sz w:val="26"/>
          <w:szCs w:val="26"/>
        </w:rPr>
      </w:pPr>
      <w:bookmarkStart w:id="0" w:name="_Hlk202436609"/>
      <w:r w:rsidRPr="00424AB2">
        <w:rPr>
          <w:rFonts w:ascii="Century Schoolbook" w:hAnsi="Century Schoolbook"/>
          <w:b/>
          <w:sz w:val="26"/>
          <w:szCs w:val="26"/>
        </w:rPr>
        <w:t>__________________________________________________________________</w:t>
      </w:r>
      <w:r w:rsidR="00F42605">
        <w:rPr>
          <w:rFonts w:ascii="Century Schoolbook" w:hAnsi="Century Schoolbook"/>
          <w:b/>
          <w:sz w:val="26"/>
          <w:szCs w:val="26"/>
        </w:rPr>
        <w:t>______</w:t>
      </w:r>
    </w:p>
    <w:p w14:paraId="734295D5" w14:textId="77777777" w:rsidR="00134752" w:rsidRPr="00424AB2" w:rsidRDefault="00134752">
      <w:pPr>
        <w:jc w:val="center"/>
        <w:rPr>
          <w:rFonts w:ascii="Century Schoolbook" w:hAnsi="Century Schoolbook"/>
          <w:b/>
          <w:sz w:val="26"/>
          <w:szCs w:val="26"/>
        </w:rPr>
      </w:pPr>
    </w:p>
    <w:p w14:paraId="5C7B072F" w14:textId="77777777" w:rsidR="00134752" w:rsidRPr="00424AB2" w:rsidRDefault="00134752">
      <w:pPr>
        <w:jc w:val="center"/>
        <w:rPr>
          <w:rFonts w:ascii="Century Schoolbook" w:hAnsi="Century Schoolbook"/>
          <w:b/>
          <w:sz w:val="26"/>
          <w:szCs w:val="26"/>
        </w:rPr>
      </w:pPr>
      <w:r w:rsidRPr="00424AB2">
        <w:rPr>
          <w:rFonts w:ascii="Century Schoolbook" w:hAnsi="Century Schoolbook"/>
          <w:b/>
          <w:sz w:val="26"/>
          <w:szCs w:val="26"/>
        </w:rPr>
        <w:t>IN THE UNITED STATES COURT OF APPEALS</w:t>
      </w:r>
    </w:p>
    <w:p w14:paraId="76CF8B2F" w14:textId="77777777" w:rsidR="00134752" w:rsidRPr="00424AB2" w:rsidRDefault="00134752">
      <w:pPr>
        <w:jc w:val="center"/>
        <w:rPr>
          <w:rFonts w:ascii="Century Schoolbook" w:hAnsi="Century Schoolbook"/>
          <w:b/>
          <w:sz w:val="26"/>
          <w:szCs w:val="26"/>
        </w:rPr>
      </w:pPr>
      <w:r w:rsidRPr="00424AB2">
        <w:rPr>
          <w:rFonts w:ascii="Century Schoolbook" w:hAnsi="Century Schoolbook"/>
          <w:b/>
          <w:sz w:val="26"/>
          <w:szCs w:val="26"/>
        </w:rPr>
        <w:t>FOR THE NINTH CIRCUIT</w:t>
      </w:r>
    </w:p>
    <w:p w14:paraId="131B869C" w14:textId="77777777" w:rsidR="00134752" w:rsidRPr="00424AB2" w:rsidRDefault="00134752" w:rsidP="00180D57">
      <w:pPr>
        <w:pBdr>
          <w:bottom w:val="single" w:sz="6" w:space="1" w:color="auto"/>
        </w:pBdr>
        <w:rPr>
          <w:rFonts w:ascii="Century Schoolbook" w:hAnsi="Century Schoolbook"/>
          <w:b/>
          <w:sz w:val="26"/>
          <w:szCs w:val="26"/>
        </w:rPr>
      </w:pPr>
    </w:p>
    <w:p w14:paraId="2207BDF4" w14:textId="77777777" w:rsidR="00134752" w:rsidRPr="00424AB2" w:rsidRDefault="00134752">
      <w:pPr>
        <w:rPr>
          <w:rFonts w:ascii="Century Schoolbook" w:hAnsi="Century Schoolbook"/>
          <w:b/>
          <w:sz w:val="26"/>
          <w:szCs w:val="26"/>
        </w:rPr>
      </w:pPr>
    </w:p>
    <w:p w14:paraId="4134E0D5" w14:textId="46436787" w:rsidR="00134752" w:rsidRPr="00836394" w:rsidRDefault="00180D57" w:rsidP="00836394">
      <w:pPr>
        <w:pStyle w:val="SingleSpaced"/>
        <w:spacing w:line="240" w:lineRule="auto"/>
        <w:ind w:left="1440" w:right="1440"/>
        <w:jc w:val="center"/>
        <w:rPr>
          <w:rFonts w:ascii="Century Schoolbook" w:hAnsi="Century Schoolbook"/>
          <w:b/>
          <w:bCs/>
          <w:sz w:val="26"/>
          <w:szCs w:val="26"/>
        </w:rPr>
      </w:pPr>
      <w:r w:rsidRPr="00424AB2">
        <w:rPr>
          <w:rFonts w:ascii="Century Schoolbook" w:hAnsi="Century Schoolbook"/>
          <w:b/>
          <w:bCs/>
          <w:sz w:val="26"/>
          <w:szCs w:val="26"/>
        </w:rPr>
        <w:t>COMMUNITY LEGAL SERVICES IN EAST PALO ALTO, et al.,</w:t>
      </w:r>
    </w:p>
    <w:p w14:paraId="7C57FD0E" w14:textId="7BF305E8" w:rsidR="00134752" w:rsidRPr="00424AB2" w:rsidRDefault="00134752" w:rsidP="00924978">
      <w:pPr>
        <w:ind w:left="1440" w:right="1440"/>
        <w:jc w:val="center"/>
        <w:rPr>
          <w:rFonts w:ascii="Century Schoolbook" w:hAnsi="Century Schoolbook"/>
          <w:sz w:val="26"/>
          <w:szCs w:val="26"/>
        </w:rPr>
      </w:pPr>
      <w:r w:rsidRPr="00424AB2">
        <w:rPr>
          <w:rFonts w:ascii="Century Schoolbook" w:hAnsi="Century Schoolbook"/>
          <w:i/>
          <w:sz w:val="26"/>
          <w:szCs w:val="26"/>
        </w:rPr>
        <w:t>Plaintiff</w:t>
      </w:r>
      <w:r w:rsidR="00836394">
        <w:rPr>
          <w:rFonts w:ascii="Century Schoolbook" w:hAnsi="Century Schoolbook"/>
          <w:i/>
          <w:sz w:val="26"/>
          <w:szCs w:val="26"/>
        </w:rPr>
        <w:t>s–</w:t>
      </w:r>
      <w:r w:rsidRPr="00424AB2">
        <w:rPr>
          <w:rFonts w:ascii="Century Schoolbook" w:hAnsi="Century Schoolbook"/>
          <w:i/>
          <w:sz w:val="26"/>
          <w:szCs w:val="26"/>
        </w:rPr>
        <w:t>Appellee</w:t>
      </w:r>
      <w:r w:rsidR="00180D57" w:rsidRPr="00424AB2">
        <w:rPr>
          <w:rFonts w:ascii="Century Schoolbook" w:hAnsi="Century Schoolbook"/>
          <w:i/>
          <w:sz w:val="26"/>
          <w:szCs w:val="26"/>
        </w:rPr>
        <w:t>s</w:t>
      </w:r>
      <w:r w:rsidRPr="00424AB2">
        <w:rPr>
          <w:rFonts w:ascii="Century Schoolbook" w:hAnsi="Century Schoolbook"/>
          <w:sz w:val="26"/>
          <w:szCs w:val="26"/>
        </w:rPr>
        <w:t>,</w:t>
      </w:r>
    </w:p>
    <w:p w14:paraId="0587D576" w14:textId="6ACBC47B" w:rsidR="00134752" w:rsidRPr="00924978" w:rsidRDefault="00134752" w:rsidP="00924978">
      <w:pPr>
        <w:spacing w:before="120" w:after="120"/>
        <w:ind w:left="1440" w:right="1440"/>
        <w:jc w:val="center"/>
        <w:rPr>
          <w:rFonts w:ascii="Century Schoolbook" w:hAnsi="Century Schoolbook"/>
          <w:sz w:val="26"/>
          <w:szCs w:val="26"/>
        </w:rPr>
      </w:pPr>
      <w:r w:rsidRPr="00424AB2">
        <w:rPr>
          <w:rFonts w:ascii="Century Schoolbook" w:hAnsi="Century Schoolbook"/>
          <w:i/>
          <w:iCs/>
          <w:sz w:val="26"/>
          <w:szCs w:val="26"/>
        </w:rPr>
        <w:t>v</w:t>
      </w:r>
      <w:r w:rsidRPr="00424AB2">
        <w:rPr>
          <w:rFonts w:ascii="Century Schoolbook" w:hAnsi="Century Schoolbook"/>
          <w:sz w:val="26"/>
          <w:szCs w:val="26"/>
        </w:rPr>
        <w:t>.</w:t>
      </w:r>
    </w:p>
    <w:p w14:paraId="022C7D6E" w14:textId="66E1BCEF" w:rsidR="00134752" w:rsidRPr="00836394" w:rsidRDefault="00180D57" w:rsidP="00836394">
      <w:pPr>
        <w:pStyle w:val="SingleSpaced"/>
        <w:spacing w:line="240" w:lineRule="auto"/>
        <w:ind w:left="1440" w:right="1440"/>
        <w:jc w:val="center"/>
        <w:rPr>
          <w:rFonts w:ascii="Century Schoolbook" w:hAnsi="Century Schoolbook"/>
          <w:b/>
          <w:bCs/>
          <w:sz w:val="26"/>
          <w:szCs w:val="26"/>
        </w:rPr>
      </w:pPr>
      <w:r w:rsidRPr="00424AB2">
        <w:rPr>
          <w:rFonts w:ascii="Century Schoolbook" w:hAnsi="Century Schoolbook"/>
          <w:b/>
          <w:bCs/>
          <w:sz w:val="26"/>
          <w:szCs w:val="26"/>
        </w:rPr>
        <w:t>UNITED STATES DEPARTMENT OF HEALTH AND HUMAN SERVICES, et al.,</w:t>
      </w:r>
    </w:p>
    <w:p w14:paraId="7FD49702" w14:textId="1C944003" w:rsidR="00134752" w:rsidRPr="00424AB2" w:rsidRDefault="00134752" w:rsidP="00836394">
      <w:pPr>
        <w:pStyle w:val="SingleSpaced"/>
        <w:spacing w:line="240" w:lineRule="auto"/>
        <w:ind w:left="1440" w:right="1440"/>
        <w:jc w:val="center"/>
        <w:rPr>
          <w:rFonts w:ascii="Century Schoolbook" w:hAnsi="Century Schoolbook"/>
          <w:i/>
          <w:sz w:val="26"/>
          <w:szCs w:val="26"/>
        </w:rPr>
      </w:pPr>
      <w:r w:rsidRPr="00424AB2">
        <w:rPr>
          <w:rFonts w:ascii="Century Schoolbook" w:hAnsi="Century Schoolbook"/>
          <w:i/>
          <w:sz w:val="26"/>
          <w:szCs w:val="26"/>
        </w:rPr>
        <w:t>Defendant</w:t>
      </w:r>
      <w:r w:rsidR="00836394">
        <w:rPr>
          <w:rFonts w:ascii="Century Schoolbook" w:hAnsi="Century Schoolbook"/>
          <w:i/>
          <w:sz w:val="26"/>
          <w:szCs w:val="26"/>
        </w:rPr>
        <w:t>s–</w:t>
      </w:r>
      <w:r w:rsidRPr="00424AB2">
        <w:rPr>
          <w:rFonts w:ascii="Century Schoolbook" w:hAnsi="Century Schoolbook"/>
          <w:i/>
          <w:sz w:val="26"/>
          <w:szCs w:val="26"/>
        </w:rPr>
        <w:t>Appellant</w:t>
      </w:r>
      <w:r w:rsidR="00180D57" w:rsidRPr="00424AB2">
        <w:rPr>
          <w:rFonts w:ascii="Century Schoolbook" w:hAnsi="Century Schoolbook"/>
          <w:i/>
          <w:sz w:val="26"/>
          <w:szCs w:val="26"/>
        </w:rPr>
        <w:t>s</w:t>
      </w:r>
      <w:r w:rsidRPr="00424AB2">
        <w:rPr>
          <w:rFonts w:ascii="Century Schoolbook" w:hAnsi="Century Schoolbook"/>
          <w:sz w:val="26"/>
          <w:szCs w:val="26"/>
        </w:rPr>
        <w:t>.</w:t>
      </w:r>
    </w:p>
    <w:p w14:paraId="3653C8E0" w14:textId="7E688356" w:rsidR="00836394" w:rsidRDefault="00836394">
      <w:pPr>
        <w:pStyle w:val="SingleSpaced"/>
        <w:spacing w:line="240" w:lineRule="auto"/>
        <w:ind w:left="720" w:right="720"/>
        <w:jc w:val="center"/>
        <w:rPr>
          <w:rFonts w:ascii="Century Schoolbook" w:hAnsi="Century Schoolbook"/>
          <w:sz w:val="26"/>
          <w:szCs w:val="26"/>
        </w:rPr>
      </w:pPr>
      <w:r>
        <w:rPr>
          <w:rFonts w:ascii="Century Schoolbook" w:hAnsi="Century Schoolbook"/>
          <w:i/>
          <w:noProof/>
          <w:sz w:val="26"/>
          <w:szCs w:val="26"/>
          <w:lang w:bidi="he-IL"/>
        </w:rPr>
        <mc:AlternateContent>
          <mc:Choice Requires="wps">
            <w:drawing>
              <wp:anchor distT="0" distB="0" distL="114300" distR="114300" simplePos="0" relativeHeight="251661312" behindDoc="0" locked="0" layoutInCell="1" allowOverlap="1" wp14:anchorId="0349DEB5" wp14:editId="59647BF7">
                <wp:simplePos x="0" y="0"/>
                <wp:positionH relativeFrom="column">
                  <wp:posOffset>-66675</wp:posOffset>
                </wp:positionH>
                <wp:positionV relativeFrom="paragraph">
                  <wp:posOffset>100965</wp:posOffset>
                </wp:positionV>
                <wp:extent cx="6019800" cy="0"/>
                <wp:effectExtent l="0" t="0" r="0" b="0"/>
                <wp:wrapNone/>
                <wp:docPr id="27846602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D2A59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7.95pt" to="468.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" strokecolor="black [3200]" strokeweight="1pt">
                <v:stroke joinstyle="miter"/>
              </v:line>
            </w:pict>
          </mc:Fallback>
        </mc:AlternateContent>
      </w:r>
    </w:p>
    <w:p w14:paraId="64A127E4" w14:textId="551589C9" w:rsidR="00134752" w:rsidRPr="00424AB2" w:rsidRDefault="00134752">
      <w:pPr>
        <w:pStyle w:val="SingleSpaced"/>
        <w:spacing w:line="240" w:lineRule="auto"/>
        <w:ind w:left="720" w:right="720"/>
        <w:jc w:val="center"/>
        <w:rPr>
          <w:rFonts w:ascii="Century Schoolbook" w:hAnsi="Century Schoolbook"/>
          <w:sz w:val="26"/>
          <w:szCs w:val="26"/>
        </w:rPr>
      </w:pPr>
      <w:r w:rsidRPr="00424AB2">
        <w:rPr>
          <w:rFonts w:ascii="Century Schoolbook" w:hAnsi="Century Schoolbook"/>
          <w:sz w:val="26"/>
          <w:szCs w:val="26"/>
        </w:rPr>
        <w:t>On Appeal from the United States District Court</w:t>
      </w:r>
    </w:p>
    <w:p w14:paraId="15843A3C" w14:textId="0252C3BA" w:rsidR="00134752" w:rsidRPr="00424AB2" w:rsidRDefault="00134752">
      <w:pPr>
        <w:pStyle w:val="SingleSpaced"/>
        <w:spacing w:line="240" w:lineRule="auto"/>
        <w:ind w:left="720" w:right="720"/>
        <w:jc w:val="center"/>
        <w:rPr>
          <w:rFonts w:ascii="Century Schoolbook" w:hAnsi="Century Schoolbook"/>
          <w:sz w:val="26"/>
          <w:szCs w:val="26"/>
        </w:rPr>
      </w:pPr>
      <w:r w:rsidRPr="00424AB2">
        <w:rPr>
          <w:rFonts w:ascii="Century Schoolbook" w:hAnsi="Century Schoolbook"/>
          <w:sz w:val="26"/>
          <w:szCs w:val="26"/>
        </w:rPr>
        <w:t xml:space="preserve">for the </w:t>
      </w:r>
      <w:r w:rsidR="00180D57" w:rsidRPr="00424AB2">
        <w:rPr>
          <w:rFonts w:ascii="Century Schoolbook" w:hAnsi="Century Schoolbook"/>
          <w:sz w:val="26"/>
          <w:szCs w:val="26"/>
        </w:rPr>
        <w:t>Norther</w:t>
      </w:r>
      <w:r w:rsidR="00836394">
        <w:rPr>
          <w:rFonts w:ascii="Century Schoolbook" w:hAnsi="Century Schoolbook"/>
          <w:sz w:val="26"/>
          <w:szCs w:val="26"/>
        </w:rPr>
        <w:t>n</w:t>
      </w:r>
      <w:r w:rsidR="00180D57" w:rsidRPr="00424AB2">
        <w:rPr>
          <w:rFonts w:ascii="Century Schoolbook" w:hAnsi="Century Schoolbook"/>
          <w:sz w:val="26"/>
          <w:szCs w:val="26"/>
        </w:rPr>
        <w:t xml:space="preserve"> </w:t>
      </w:r>
      <w:r w:rsidRPr="00424AB2">
        <w:rPr>
          <w:rFonts w:ascii="Century Schoolbook" w:hAnsi="Century Schoolbook"/>
          <w:sz w:val="26"/>
          <w:szCs w:val="26"/>
        </w:rPr>
        <w:t xml:space="preserve">District of </w:t>
      </w:r>
      <w:r w:rsidR="00180D57" w:rsidRPr="00424AB2">
        <w:rPr>
          <w:rFonts w:ascii="Century Schoolbook" w:hAnsi="Century Schoolbook"/>
          <w:sz w:val="26"/>
          <w:szCs w:val="26"/>
        </w:rPr>
        <w:t xml:space="preserve">California </w:t>
      </w:r>
    </w:p>
    <w:p w14:paraId="0CBAD290" w14:textId="712B95A8" w:rsidR="00134752" w:rsidRPr="00836394" w:rsidRDefault="00134752">
      <w:pPr>
        <w:pStyle w:val="SingleSpaced"/>
        <w:spacing w:line="240" w:lineRule="auto"/>
        <w:ind w:left="720" w:right="720"/>
        <w:jc w:val="center"/>
        <w:rPr>
          <w:rFonts w:ascii="Century Schoolbook" w:hAnsi="Century Schoolbook"/>
          <w:sz w:val="26"/>
          <w:szCs w:val="26"/>
          <w:lang w:val="es-ES"/>
        </w:rPr>
      </w:pPr>
      <w:r w:rsidRPr="00836394">
        <w:rPr>
          <w:rFonts w:ascii="Century Schoolbook" w:hAnsi="Century Schoolbook"/>
          <w:sz w:val="26"/>
          <w:szCs w:val="26"/>
          <w:lang w:val="es-ES"/>
        </w:rPr>
        <w:t xml:space="preserve">No. </w:t>
      </w:r>
      <w:r w:rsidR="00180D57" w:rsidRPr="00836394">
        <w:rPr>
          <w:rFonts w:ascii="Century Schoolbook" w:hAnsi="Century Schoolbook"/>
          <w:sz w:val="26"/>
          <w:szCs w:val="26"/>
          <w:lang w:val="es-ES"/>
        </w:rPr>
        <w:t>3:25-cv-02847-AMO</w:t>
      </w:r>
    </w:p>
    <w:p w14:paraId="762C8BB7" w14:textId="12847F96" w:rsidR="00134752" w:rsidRPr="00EF2243" w:rsidRDefault="00134752">
      <w:pPr>
        <w:pStyle w:val="SingleSpaced"/>
        <w:spacing w:line="240" w:lineRule="auto"/>
        <w:ind w:left="720" w:right="720"/>
        <w:jc w:val="center"/>
        <w:rPr>
          <w:rFonts w:ascii="Century Schoolbook" w:hAnsi="Century Schoolbook"/>
          <w:sz w:val="26"/>
          <w:szCs w:val="26"/>
          <w:lang w:val="es-ES"/>
        </w:rPr>
      </w:pPr>
      <w:proofErr w:type="spellStart"/>
      <w:r w:rsidRPr="00EF2243">
        <w:rPr>
          <w:rFonts w:ascii="Century Schoolbook" w:hAnsi="Century Schoolbook"/>
          <w:sz w:val="26"/>
          <w:szCs w:val="26"/>
          <w:lang w:val="es-ES"/>
        </w:rPr>
        <w:t>Hon</w:t>
      </w:r>
      <w:proofErr w:type="spellEnd"/>
      <w:r w:rsidRPr="00EF2243">
        <w:rPr>
          <w:rFonts w:ascii="Century Schoolbook" w:hAnsi="Century Schoolbook"/>
          <w:sz w:val="26"/>
          <w:szCs w:val="26"/>
          <w:lang w:val="es-ES"/>
        </w:rPr>
        <w:t xml:space="preserve">. </w:t>
      </w:r>
      <w:r w:rsidR="00180D57" w:rsidRPr="00EF2243">
        <w:rPr>
          <w:rFonts w:ascii="Century Schoolbook" w:hAnsi="Century Schoolbook"/>
          <w:sz w:val="26"/>
          <w:szCs w:val="26"/>
          <w:lang w:val="es-ES"/>
        </w:rPr>
        <w:t>Araceli Mart</w:t>
      </w:r>
      <w:r w:rsidR="00511351">
        <w:rPr>
          <w:rFonts w:ascii="Century Schoolbook" w:hAnsi="Century Schoolbook"/>
          <w:sz w:val="26"/>
          <w:szCs w:val="26"/>
          <w:lang w:val="es-ES"/>
        </w:rPr>
        <w:t>í</w:t>
      </w:r>
      <w:r w:rsidR="00180D57" w:rsidRPr="00EF2243">
        <w:rPr>
          <w:rFonts w:ascii="Century Schoolbook" w:hAnsi="Century Schoolbook"/>
          <w:sz w:val="26"/>
          <w:szCs w:val="26"/>
          <w:lang w:val="es-ES"/>
        </w:rPr>
        <w:t>nez</w:t>
      </w:r>
      <w:r w:rsidR="00836394" w:rsidRPr="00EF2243">
        <w:rPr>
          <w:rFonts w:ascii="Century Schoolbook" w:hAnsi="Century Schoolbook"/>
          <w:sz w:val="26"/>
          <w:szCs w:val="26"/>
          <w:lang w:val="es-ES"/>
        </w:rPr>
        <w:t>–</w:t>
      </w:r>
      <w:r w:rsidR="00180D57" w:rsidRPr="00EF2243">
        <w:rPr>
          <w:rFonts w:ascii="Century Schoolbook" w:hAnsi="Century Schoolbook"/>
          <w:sz w:val="26"/>
          <w:szCs w:val="26"/>
          <w:lang w:val="es-ES"/>
        </w:rPr>
        <w:t>Olgu</w:t>
      </w:r>
      <w:r w:rsidR="00511351">
        <w:rPr>
          <w:rFonts w:ascii="Century Schoolbook" w:hAnsi="Century Schoolbook"/>
          <w:sz w:val="26"/>
          <w:szCs w:val="26"/>
          <w:lang w:val="es-ES"/>
        </w:rPr>
        <w:t>í</w:t>
      </w:r>
      <w:r w:rsidR="00180D57" w:rsidRPr="00EF2243">
        <w:rPr>
          <w:rFonts w:ascii="Century Schoolbook" w:hAnsi="Century Schoolbook"/>
          <w:sz w:val="26"/>
          <w:szCs w:val="26"/>
          <w:lang w:val="es-ES"/>
        </w:rPr>
        <w:t>n</w:t>
      </w:r>
    </w:p>
    <w:p w14:paraId="25F8EE88" w14:textId="1977421D" w:rsidR="00134752" w:rsidRPr="00EF2243" w:rsidRDefault="00924978" w:rsidP="00924978">
      <w:pPr>
        <w:pBdr>
          <w:bottom w:val="single" w:sz="6" w:space="1" w:color="auto"/>
        </w:pBdr>
        <w:rPr>
          <w:rFonts w:ascii="Century Schoolbook" w:hAnsi="Century Schoolbook"/>
          <w:b/>
          <w:sz w:val="10"/>
          <w:szCs w:val="10"/>
          <w:lang w:val="es-ES"/>
        </w:rPr>
      </w:pPr>
      <w:r w:rsidRPr="00EF2243">
        <w:rPr>
          <w:rFonts w:ascii="Century Schoolbook" w:hAnsi="Century Schoolbook"/>
          <w:b/>
          <w:sz w:val="10"/>
          <w:szCs w:val="10"/>
          <w:lang w:val="es-ES"/>
        </w:rPr>
        <w:t xml:space="preserve"> </w:t>
      </w:r>
    </w:p>
    <w:p w14:paraId="59E3A568" w14:textId="77777777" w:rsidR="00134752" w:rsidRPr="00EF2243" w:rsidRDefault="00134752" w:rsidP="00522B75">
      <w:pPr>
        <w:rPr>
          <w:rFonts w:ascii="Century Schoolbook" w:hAnsi="Century Schoolbook"/>
          <w:b/>
          <w:sz w:val="26"/>
          <w:szCs w:val="26"/>
          <w:lang w:val="es-ES"/>
        </w:rPr>
      </w:pPr>
    </w:p>
    <w:p w14:paraId="2E90C520" w14:textId="28F390D4" w:rsidR="006C0BC3" w:rsidRPr="00424AB2" w:rsidRDefault="006C0BC3" w:rsidP="00522B75">
      <w:pPr>
        <w:pBdr>
          <w:bottom w:val="single" w:sz="6" w:space="1" w:color="auto"/>
        </w:pBdr>
        <w:jc w:val="center"/>
        <w:rPr>
          <w:rFonts w:ascii="Century Schoolbook" w:hAnsi="Century Schoolbook"/>
          <w:b/>
          <w:bCs/>
          <w:sz w:val="26"/>
          <w:szCs w:val="26"/>
        </w:rPr>
      </w:pPr>
      <w:r w:rsidRPr="00424AB2">
        <w:rPr>
          <w:rFonts w:ascii="Century Schoolbook" w:hAnsi="Century Schoolbook"/>
          <w:b/>
          <w:bCs/>
          <w:sz w:val="26"/>
          <w:szCs w:val="26"/>
        </w:rPr>
        <w:t>AMICUS CURIAE BRIEF</w:t>
      </w:r>
      <w:r w:rsidR="00836394">
        <w:rPr>
          <w:rFonts w:ascii="Century Schoolbook" w:hAnsi="Century Schoolbook"/>
          <w:b/>
          <w:bCs/>
          <w:sz w:val="26"/>
          <w:szCs w:val="26"/>
        </w:rPr>
        <w:t xml:space="preserve"> OF </w:t>
      </w:r>
      <w:r w:rsidR="00836394" w:rsidRPr="00836394">
        <w:rPr>
          <w:rFonts w:ascii="Century Schoolbook" w:hAnsi="Century Schoolbook"/>
          <w:b/>
          <w:bCs/>
          <w:sz w:val="26"/>
          <w:szCs w:val="26"/>
          <w:highlight w:val="yellow"/>
        </w:rPr>
        <w:t>#</w:t>
      </w:r>
      <w:r w:rsidR="00836394">
        <w:rPr>
          <w:rFonts w:ascii="Century Schoolbook" w:hAnsi="Century Schoolbook"/>
          <w:b/>
          <w:bCs/>
          <w:sz w:val="26"/>
          <w:szCs w:val="26"/>
        </w:rPr>
        <w:t xml:space="preserve"> LAW PROFESSORS IN SUPPORT OF PLAINTIFFS–APPELLEES</w:t>
      </w:r>
    </w:p>
    <w:bookmarkEnd w:id="0"/>
    <w:p w14:paraId="10FC38BB" w14:textId="77777777" w:rsidR="00522B75" w:rsidRPr="006C0BC3" w:rsidRDefault="00522B75" w:rsidP="00522B75">
      <w:pPr>
        <w:pBdr>
          <w:bottom w:val="single" w:sz="6" w:space="1" w:color="auto"/>
        </w:pBdr>
        <w:jc w:val="center"/>
        <w:rPr>
          <w:rFonts w:ascii="Century Schoolbook" w:hAnsi="Century Schoolbook"/>
          <w:b/>
          <w:bCs/>
          <w:sz w:val="26"/>
          <w:szCs w:val="26"/>
        </w:rPr>
      </w:pPr>
    </w:p>
    <w:p w14:paraId="140BC4EE" w14:textId="77777777" w:rsidR="00134752" w:rsidRPr="00424AB2" w:rsidRDefault="00134752">
      <w:pPr>
        <w:jc w:val="center"/>
        <w:rPr>
          <w:rFonts w:ascii="Century Schoolbook" w:hAnsi="Century Schoolbook"/>
          <w:b/>
          <w:sz w:val="26"/>
          <w:szCs w:val="26"/>
        </w:rPr>
      </w:pPr>
    </w:p>
    <w:tbl>
      <w:tblPr>
        <w:tblW w:w="0" w:type="auto"/>
        <w:tblLook w:val="01E0" w:firstRow="1" w:lastRow="1" w:firstColumn="1" w:lastColumn="1" w:noHBand="0" w:noVBand="0"/>
      </w:tblPr>
      <w:tblGrid>
        <w:gridCol w:w="9360"/>
      </w:tblGrid>
      <w:tr w:rsidR="00134752" w:rsidRPr="00424AB2" w14:paraId="1A293508" w14:textId="77777777">
        <w:tc>
          <w:tcPr>
            <w:tcW w:w="9576" w:type="dxa"/>
          </w:tcPr>
          <w:p w14:paraId="638FB537" w14:textId="2DF8D0E8" w:rsidR="00180D57" w:rsidRPr="00180D57" w:rsidRDefault="00180D57" w:rsidP="00180D57">
            <w:pPr>
              <w:pStyle w:val="SingleSpaced"/>
              <w:ind w:left="90"/>
              <w:jc w:val="center"/>
              <w:rPr>
                <w:rFonts w:ascii="Century Schoolbook" w:hAnsi="Century Schoolbook"/>
                <w:sz w:val="26"/>
                <w:szCs w:val="26"/>
              </w:rPr>
            </w:pPr>
            <w:r w:rsidRPr="00180D57">
              <w:rPr>
                <w:rFonts w:ascii="Century Schoolbook" w:hAnsi="Century Schoolbook"/>
                <w:sz w:val="26"/>
                <w:szCs w:val="26"/>
              </w:rPr>
              <w:t>The Norton Law Firm PC</w:t>
            </w:r>
          </w:p>
          <w:p w14:paraId="1B27EEA0" w14:textId="2220F574" w:rsidR="00180D57" w:rsidRPr="00180D57" w:rsidRDefault="00180D57" w:rsidP="00180D57">
            <w:pPr>
              <w:pStyle w:val="SingleSpaced"/>
              <w:ind w:left="90"/>
              <w:jc w:val="center"/>
              <w:rPr>
                <w:rFonts w:ascii="Century Schoolbook" w:hAnsi="Century Schoolbook"/>
                <w:sz w:val="26"/>
                <w:szCs w:val="26"/>
              </w:rPr>
            </w:pPr>
            <w:r w:rsidRPr="00180D57">
              <w:rPr>
                <w:rFonts w:ascii="Century Schoolbook" w:hAnsi="Century Schoolbook"/>
                <w:sz w:val="26"/>
                <w:szCs w:val="26"/>
              </w:rPr>
              <w:t xml:space="preserve">Josephine </w:t>
            </w:r>
            <w:r w:rsidR="00D320D9">
              <w:rPr>
                <w:rFonts w:ascii="Century Schoolbook" w:hAnsi="Century Schoolbook"/>
                <w:sz w:val="26"/>
                <w:szCs w:val="26"/>
              </w:rPr>
              <w:t xml:space="preserve">K. </w:t>
            </w:r>
            <w:r w:rsidRPr="00180D57">
              <w:rPr>
                <w:rFonts w:ascii="Century Schoolbook" w:hAnsi="Century Schoolbook"/>
                <w:sz w:val="26"/>
                <w:szCs w:val="26"/>
              </w:rPr>
              <w:t>Petrick</w:t>
            </w:r>
          </w:p>
          <w:p w14:paraId="65FA3C53" w14:textId="0766C54F" w:rsidR="00180D57" w:rsidRPr="00180D57" w:rsidRDefault="00180D57" w:rsidP="00180D57">
            <w:pPr>
              <w:pStyle w:val="SingleSpaced"/>
              <w:ind w:left="90"/>
              <w:jc w:val="center"/>
              <w:rPr>
                <w:rFonts w:ascii="Century Schoolbook" w:hAnsi="Century Schoolbook"/>
                <w:sz w:val="26"/>
                <w:szCs w:val="26"/>
              </w:rPr>
            </w:pPr>
            <w:r w:rsidRPr="00180D57">
              <w:rPr>
                <w:rFonts w:ascii="Century Schoolbook" w:hAnsi="Century Schoolbook"/>
                <w:sz w:val="26"/>
                <w:szCs w:val="26"/>
              </w:rPr>
              <w:t>jpetrick@nortonlaw.com</w:t>
            </w:r>
          </w:p>
          <w:p w14:paraId="189241B4" w14:textId="0CAC0DC4" w:rsidR="00180D57" w:rsidRPr="00180D57" w:rsidRDefault="00180D57" w:rsidP="00180D57">
            <w:pPr>
              <w:pStyle w:val="SingleSpaced"/>
              <w:ind w:left="90"/>
              <w:jc w:val="center"/>
              <w:rPr>
                <w:rFonts w:ascii="Century Schoolbook" w:hAnsi="Century Schoolbook"/>
                <w:sz w:val="26"/>
                <w:szCs w:val="26"/>
              </w:rPr>
            </w:pPr>
            <w:r w:rsidRPr="00180D57">
              <w:rPr>
                <w:rFonts w:ascii="Century Schoolbook" w:hAnsi="Century Schoolbook"/>
                <w:sz w:val="26"/>
                <w:szCs w:val="26"/>
              </w:rPr>
              <w:t>300 Frank H. Ogawa Plaza, Ste. 450</w:t>
            </w:r>
          </w:p>
          <w:p w14:paraId="3DEF5542" w14:textId="3F98D62B" w:rsidR="00180D57" w:rsidRPr="00180D57" w:rsidRDefault="00180D57" w:rsidP="00180D57">
            <w:pPr>
              <w:pStyle w:val="SingleSpaced"/>
              <w:ind w:left="90"/>
              <w:jc w:val="center"/>
              <w:rPr>
                <w:rFonts w:ascii="Century Schoolbook" w:hAnsi="Century Schoolbook"/>
                <w:sz w:val="26"/>
                <w:szCs w:val="26"/>
              </w:rPr>
            </w:pPr>
            <w:r w:rsidRPr="00180D57">
              <w:rPr>
                <w:rFonts w:ascii="Century Schoolbook" w:hAnsi="Century Schoolbook"/>
                <w:sz w:val="26"/>
                <w:szCs w:val="26"/>
              </w:rPr>
              <w:t>Oakland, CA 94612</w:t>
            </w:r>
          </w:p>
          <w:p w14:paraId="40B99854" w14:textId="655D11C6" w:rsidR="00134752" w:rsidRPr="00424AB2" w:rsidRDefault="00180D57" w:rsidP="00180D57">
            <w:pPr>
              <w:pStyle w:val="SingleSpaced"/>
              <w:spacing w:line="240" w:lineRule="auto"/>
              <w:ind w:left="90"/>
              <w:jc w:val="center"/>
              <w:rPr>
                <w:rFonts w:ascii="Century Schoolbook" w:hAnsi="Century Schoolbook"/>
                <w:sz w:val="26"/>
                <w:szCs w:val="26"/>
              </w:rPr>
            </w:pPr>
            <w:r w:rsidRPr="00424AB2">
              <w:rPr>
                <w:rFonts w:ascii="Century Schoolbook" w:hAnsi="Century Schoolbook"/>
                <w:sz w:val="26"/>
                <w:szCs w:val="26"/>
              </w:rPr>
              <w:t>510-906-4900</w:t>
            </w:r>
          </w:p>
          <w:p w14:paraId="26B78F58" w14:textId="77777777" w:rsidR="00180D57" w:rsidRPr="00424AB2" w:rsidRDefault="00180D57" w:rsidP="00180D57">
            <w:pPr>
              <w:pStyle w:val="SingleSpaced"/>
              <w:spacing w:line="240" w:lineRule="auto"/>
              <w:ind w:left="90"/>
              <w:jc w:val="center"/>
              <w:rPr>
                <w:rFonts w:ascii="Century Schoolbook" w:hAnsi="Century Schoolbook"/>
                <w:i/>
                <w:sz w:val="26"/>
                <w:szCs w:val="26"/>
              </w:rPr>
            </w:pPr>
          </w:p>
          <w:p w14:paraId="7952D7F1" w14:textId="49CA84CA" w:rsidR="00285BC7" w:rsidRPr="00836394" w:rsidRDefault="0035754E" w:rsidP="00180D57">
            <w:pPr>
              <w:pStyle w:val="SingleSpaced"/>
              <w:spacing w:line="240" w:lineRule="auto"/>
              <w:ind w:left="90"/>
              <w:jc w:val="center"/>
              <w:rPr>
                <w:rFonts w:ascii="Century Schoolbook" w:hAnsi="Century Schoolbook"/>
                <w:iCs/>
                <w:sz w:val="26"/>
                <w:szCs w:val="26"/>
              </w:rPr>
            </w:pPr>
            <w:r>
              <w:rPr>
                <w:rFonts w:ascii="Century Schoolbook" w:hAnsi="Century Schoolbook"/>
                <w:iCs/>
                <w:sz w:val="26"/>
                <w:szCs w:val="26"/>
              </w:rPr>
              <w:t>COUNSEL</w:t>
            </w:r>
            <w:r w:rsidRPr="00836394">
              <w:rPr>
                <w:rFonts w:ascii="Century Schoolbook" w:hAnsi="Century Schoolbook"/>
                <w:iCs/>
                <w:sz w:val="26"/>
                <w:szCs w:val="26"/>
              </w:rPr>
              <w:t xml:space="preserve"> </w:t>
            </w:r>
            <w:r w:rsidR="00180D57" w:rsidRPr="00836394">
              <w:rPr>
                <w:rFonts w:ascii="Century Schoolbook" w:hAnsi="Century Schoolbook"/>
                <w:iCs/>
                <w:sz w:val="26"/>
                <w:szCs w:val="26"/>
              </w:rPr>
              <w:t xml:space="preserve">FOR </w:t>
            </w:r>
            <w:r w:rsidR="00134752" w:rsidRPr="00836394">
              <w:rPr>
                <w:rFonts w:ascii="Century Schoolbook" w:hAnsi="Century Schoolbook"/>
                <w:iCs/>
                <w:sz w:val="26"/>
                <w:szCs w:val="26"/>
              </w:rPr>
              <w:t>A</w:t>
            </w:r>
            <w:r w:rsidR="00180D57" w:rsidRPr="00836394">
              <w:rPr>
                <w:rFonts w:ascii="Century Schoolbook" w:hAnsi="Century Schoolbook"/>
                <w:iCs/>
                <w:sz w:val="26"/>
                <w:szCs w:val="26"/>
              </w:rPr>
              <w:t>MICI CURIAE</w:t>
            </w:r>
          </w:p>
          <w:p w14:paraId="7A333946" w14:textId="7163FB56" w:rsidR="00134752" w:rsidRPr="00AF7E99" w:rsidRDefault="00217C08" w:rsidP="00D04C65">
            <w:pPr>
              <w:pStyle w:val="SingleSpaced"/>
              <w:spacing w:line="240" w:lineRule="auto"/>
              <w:ind w:left="90"/>
              <w:jc w:val="center"/>
              <w:rPr>
                <w:rFonts w:ascii="Century Schoolbook" w:hAnsi="Century Schoolbook"/>
                <w:b/>
                <w:bCs/>
                <w:i/>
                <w:sz w:val="26"/>
                <w:szCs w:val="26"/>
              </w:rPr>
            </w:pPr>
            <w:r>
              <w:rPr>
                <w:rFonts w:ascii="Century Schoolbook" w:hAnsi="Century Schoolbook"/>
                <w:b/>
                <w:bCs/>
                <w:iCs/>
                <w:sz w:val="26"/>
                <w:szCs w:val="26"/>
              </w:rPr>
              <w:t xml:space="preserve">PROF. JONATHAN ABEL, </w:t>
            </w:r>
            <w:r w:rsidR="00AD0A85">
              <w:rPr>
                <w:rFonts w:ascii="Century Schoolbook" w:hAnsi="Century Schoolbook"/>
                <w:b/>
                <w:bCs/>
                <w:iCs/>
                <w:sz w:val="26"/>
                <w:szCs w:val="26"/>
              </w:rPr>
              <w:t xml:space="preserve">PROF. RICHARD A. BOSWELL, </w:t>
            </w:r>
            <w:r w:rsidR="0054618F">
              <w:rPr>
                <w:rFonts w:ascii="Century Schoolbook" w:hAnsi="Century Schoolbook"/>
                <w:b/>
                <w:bCs/>
                <w:iCs/>
                <w:sz w:val="26"/>
                <w:szCs w:val="26"/>
              </w:rPr>
              <w:t xml:space="preserve">PROF. ABNER GREENE, </w:t>
            </w:r>
            <w:r w:rsidR="00180D57" w:rsidRPr="00836394">
              <w:rPr>
                <w:rFonts w:ascii="Century Schoolbook" w:hAnsi="Century Schoolbook"/>
                <w:b/>
                <w:bCs/>
                <w:iCs/>
                <w:sz w:val="26"/>
                <w:szCs w:val="26"/>
              </w:rPr>
              <w:t xml:space="preserve">PROF. ETHAN </w:t>
            </w:r>
            <w:r w:rsidR="003B1DE4">
              <w:rPr>
                <w:rFonts w:ascii="Century Schoolbook" w:hAnsi="Century Schoolbook"/>
                <w:b/>
                <w:bCs/>
                <w:iCs/>
                <w:sz w:val="26"/>
                <w:szCs w:val="26"/>
              </w:rPr>
              <w:t xml:space="preserve">J. </w:t>
            </w:r>
            <w:r w:rsidR="00180D57" w:rsidRPr="00836394">
              <w:rPr>
                <w:rFonts w:ascii="Century Schoolbook" w:hAnsi="Century Schoolbook"/>
                <w:b/>
                <w:bCs/>
                <w:iCs/>
                <w:sz w:val="26"/>
                <w:szCs w:val="26"/>
              </w:rPr>
              <w:t>LEIB</w:t>
            </w:r>
            <w:r w:rsidR="00836394" w:rsidRPr="00836394">
              <w:rPr>
                <w:rFonts w:ascii="Century Schoolbook" w:hAnsi="Century Schoolbook"/>
                <w:b/>
                <w:bCs/>
                <w:iCs/>
                <w:sz w:val="26"/>
                <w:szCs w:val="26"/>
              </w:rPr>
              <w:t>,</w:t>
            </w:r>
            <w:r w:rsidR="00593E97">
              <w:rPr>
                <w:rFonts w:ascii="Century Schoolbook" w:hAnsi="Century Schoolbook"/>
                <w:b/>
                <w:bCs/>
                <w:iCs/>
                <w:sz w:val="26"/>
                <w:szCs w:val="26"/>
              </w:rPr>
              <w:t xml:space="preserve"> </w:t>
            </w:r>
            <w:r w:rsidR="00E93A23">
              <w:rPr>
                <w:rFonts w:ascii="Century Schoolbook" w:hAnsi="Century Schoolbook"/>
                <w:b/>
                <w:bCs/>
                <w:iCs/>
                <w:sz w:val="26"/>
                <w:szCs w:val="26"/>
              </w:rPr>
              <w:t xml:space="preserve">PROF. RORY LITTLE, </w:t>
            </w:r>
            <w:r w:rsidR="00593E97">
              <w:rPr>
                <w:rFonts w:ascii="Century Schoolbook" w:hAnsi="Century Schoolbook"/>
                <w:b/>
                <w:bCs/>
                <w:iCs/>
                <w:sz w:val="26"/>
                <w:szCs w:val="26"/>
              </w:rPr>
              <w:t xml:space="preserve">PROF. </w:t>
            </w:r>
            <w:r w:rsidR="00593E97" w:rsidRPr="00592AC3">
              <w:rPr>
                <w:rFonts w:ascii="Century Schoolbook" w:hAnsi="Century Schoolbook"/>
                <w:b/>
                <w:bCs/>
                <w:iCs/>
                <w:sz w:val="26"/>
                <w:szCs w:val="26"/>
              </w:rPr>
              <w:t>ELORA MUKHERJEE</w:t>
            </w:r>
            <w:r w:rsidRPr="00592AC3">
              <w:rPr>
                <w:rFonts w:ascii="Century Schoolbook" w:hAnsi="Century Schoolbook"/>
                <w:b/>
                <w:bCs/>
                <w:iCs/>
                <w:sz w:val="26"/>
                <w:szCs w:val="26"/>
              </w:rPr>
              <w:t>, PROF. LUKE NORRIS, PROF. ADAM ORFORD</w:t>
            </w:r>
            <w:r w:rsidR="00E93A23" w:rsidRPr="00592AC3">
              <w:rPr>
                <w:rFonts w:ascii="Century Schoolbook" w:hAnsi="Century Schoolbook"/>
                <w:b/>
                <w:bCs/>
                <w:iCs/>
                <w:sz w:val="26"/>
                <w:szCs w:val="26"/>
              </w:rPr>
              <w:t xml:space="preserve">, PROF. DANIEL RODRIGUEZ, PROF. REUEL SCHILLER, PROF. </w:t>
            </w:r>
            <w:r w:rsidR="00E93A23" w:rsidRPr="00F434C4">
              <w:rPr>
                <w:rFonts w:ascii="Century Schoolbook" w:hAnsi="Century Schoolbook"/>
                <w:b/>
                <w:bCs/>
                <w:iCs/>
                <w:sz w:val="26"/>
                <w:szCs w:val="26"/>
              </w:rPr>
              <w:t>JODI SHORT</w:t>
            </w:r>
            <w:r w:rsidR="005872E3" w:rsidRPr="00F434C4">
              <w:rPr>
                <w:rFonts w:ascii="Century Schoolbook" w:hAnsi="Century Schoolbook"/>
                <w:b/>
                <w:bCs/>
                <w:iCs/>
                <w:sz w:val="26"/>
                <w:szCs w:val="26"/>
              </w:rPr>
              <w:t>, PROF. JED HANDELSMAN SHUGERMAN</w:t>
            </w:r>
          </w:p>
        </w:tc>
      </w:tr>
    </w:tbl>
    <w:p w14:paraId="39E43E76" w14:textId="77777777" w:rsidR="00134752" w:rsidRPr="00AF7E99" w:rsidRDefault="00134752" w:rsidP="00D04C65">
      <w:pPr>
        <w:pStyle w:val="9thCirHeading1"/>
        <w:jc w:val="left"/>
        <w:rPr>
          <w:rFonts w:ascii="Century Schoolbook" w:hAnsi="Century Schoolbook"/>
          <w:sz w:val="26"/>
          <w:szCs w:val="26"/>
        </w:rPr>
        <w:sectPr w:rsidR="00134752" w:rsidRPr="00AF7E99" w:rsidSect="00002ECD">
          <w:headerReference w:type="default" r:id="rId8"/>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81"/>
        </w:sectPr>
      </w:pPr>
    </w:p>
    <w:p w14:paraId="6F2F9B0B" w14:textId="2F0FAE16" w:rsidR="00D6018C" w:rsidRPr="0036636C" w:rsidRDefault="00C638C4" w:rsidP="00DE4699">
      <w:pPr>
        <w:pStyle w:val="Heading0"/>
      </w:pPr>
      <w:bookmarkStart w:id="2" w:name="_Toc53773192"/>
      <w:bookmarkStart w:id="3" w:name="_Toc202911617"/>
      <w:r w:rsidRPr="0036636C">
        <w:lastRenderedPageBreak/>
        <w:t>DISCLOSURE STATEMENT</w:t>
      </w:r>
      <w:bookmarkEnd w:id="2"/>
      <w:bookmarkEnd w:id="3"/>
    </w:p>
    <w:p w14:paraId="618897BB" w14:textId="5A2EED22" w:rsidR="00C638C4" w:rsidRPr="0036636C" w:rsidRDefault="00C638C4" w:rsidP="00314B97">
      <w:pPr>
        <w:pStyle w:val="Body"/>
      </w:pPr>
      <w:r w:rsidRPr="0036636C">
        <w:t>Pursuant to Rule 26.1(a) of the Federal Rules of Appellate Procedure; and Ninth Circuit Rule 26.1-1</w:t>
      </w:r>
      <w:r w:rsidR="0061235C" w:rsidRPr="0036636C">
        <w:t>, Amici state that they are individuals and have nothing to disclose.</w:t>
      </w:r>
    </w:p>
    <w:p w14:paraId="7D1F7B24" w14:textId="6F4153A9" w:rsidR="00C638C4" w:rsidRPr="0036636C" w:rsidRDefault="00C638C4" w:rsidP="00C638C4">
      <w:pPr>
        <w:ind w:firstLine="720"/>
        <w:jc w:val="both"/>
        <w:rPr>
          <w:rFonts w:ascii="Century Schoolbook" w:hAnsi="Century Schoolbook"/>
          <w:color w:val="000000"/>
          <w:szCs w:val="28"/>
        </w:rPr>
      </w:pPr>
      <w:bookmarkStart w:id="4" w:name="_Hlk202437974"/>
      <w:r w:rsidRPr="0036636C">
        <w:rPr>
          <w:rFonts w:ascii="Century Schoolbook" w:hAnsi="Century Schoolbook"/>
          <w:color w:val="000000"/>
          <w:szCs w:val="28"/>
        </w:rPr>
        <w:t>Date:</w:t>
      </w:r>
      <w:r w:rsidRPr="0036636C">
        <w:rPr>
          <w:rFonts w:ascii="Century Schoolbook" w:hAnsi="Century Schoolbook"/>
          <w:color w:val="000000"/>
          <w:szCs w:val="28"/>
        </w:rPr>
        <w:tab/>
      </w:r>
      <w:r w:rsidR="00314B97">
        <w:rPr>
          <w:rFonts w:ascii="Century Schoolbook" w:hAnsi="Century Schoolbook"/>
          <w:color w:val="000000"/>
          <w:szCs w:val="28"/>
        </w:rPr>
        <w:tab/>
      </w:r>
      <w:r w:rsidR="0061235C" w:rsidRPr="0036636C">
        <w:rPr>
          <w:rFonts w:ascii="Century Schoolbook" w:hAnsi="Century Schoolbook"/>
          <w:color w:val="000000"/>
          <w:szCs w:val="28"/>
        </w:rPr>
        <w:t>July 17, 2025</w:t>
      </w:r>
    </w:p>
    <w:p w14:paraId="3BC4055F" w14:textId="77777777" w:rsidR="00C638C4" w:rsidRPr="0036636C" w:rsidRDefault="00C638C4" w:rsidP="00C638C4">
      <w:pPr>
        <w:ind w:firstLine="720"/>
        <w:jc w:val="both"/>
        <w:rPr>
          <w:rFonts w:ascii="Century Schoolbook" w:hAnsi="Century Schoolbook"/>
          <w:color w:val="000000"/>
          <w:szCs w:val="28"/>
        </w:rPr>
      </w:pPr>
    </w:p>
    <w:p w14:paraId="700278C7" w14:textId="3F2DF0D2" w:rsidR="00C638C4" w:rsidRPr="0036636C" w:rsidRDefault="00C638C4" w:rsidP="00C638C4">
      <w:pPr>
        <w:pStyle w:val="SingleSpaced"/>
        <w:spacing w:line="240" w:lineRule="auto"/>
        <w:rPr>
          <w:rFonts w:ascii="Century Schoolbook" w:hAnsi="Century Schoolbook"/>
          <w:color w:val="000000"/>
          <w:szCs w:val="28"/>
        </w:rPr>
      </w:pP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bookmarkStart w:id="5" w:name="_Hlk202437958"/>
      <w:r w:rsidR="00981741" w:rsidRPr="0036636C">
        <w:rPr>
          <w:rFonts w:ascii="Century Schoolbook" w:hAnsi="Century Schoolbook"/>
          <w:color w:val="000000"/>
          <w:szCs w:val="28"/>
        </w:rPr>
        <w:t>THE NORTON LAW FIRM PC</w:t>
      </w:r>
    </w:p>
    <w:p w14:paraId="56BD5129" w14:textId="77777777" w:rsidR="00C638C4" w:rsidRPr="0036636C" w:rsidRDefault="00C638C4" w:rsidP="00C638C4">
      <w:pPr>
        <w:pStyle w:val="SingleSpaced"/>
        <w:spacing w:line="240" w:lineRule="auto"/>
        <w:rPr>
          <w:rFonts w:ascii="Century Schoolbook" w:hAnsi="Century Schoolbook"/>
          <w:color w:val="000000"/>
          <w:szCs w:val="28"/>
        </w:rPr>
      </w:pPr>
    </w:p>
    <w:p w14:paraId="37DF88A8" w14:textId="77777777" w:rsidR="00C638C4" w:rsidRPr="0036636C" w:rsidRDefault="00C638C4" w:rsidP="00C638C4">
      <w:pPr>
        <w:pStyle w:val="SingleSpaced"/>
        <w:spacing w:line="240" w:lineRule="auto"/>
        <w:rPr>
          <w:rFonts w:ascii="Century Schoolbook" w:hAnsi="Century Schoolbook"/>
          <w:color w:val="000000"/>
          <w:szCs w:val="28"/>
        </w:rPr>
      </w:pPr>
    </w:p>
    <w:p w14:paraId="158A6B0D" w14:textId="507D55D9" w:rsidR="00C638C4" w:rsidRPr="0036636C" w:rsidRDefault="004F20B2" w:rsidP="00C638C4">
      <w:pPr>
        <w:pStyle w:val="SingleSpaced"/>
        <w:spacing w:line="240" w:lineRule="auto"/>
        <w:rPr>
          <w:rFonts w:ascii="Century Schoolbook" w:hAnsi="Century Schoolbook"/>
          <w:iCs/>
          <w:color w:val="000000"/>
          <w:szCs w:val="28"/>
        </w:rPr>
      </w:pPr>
      <w:r w:rsidRPr="0036636C">
        <w:rPr>
          <w:rFonts w:ascii="Century Schoolbook" w:hAnsi="Century Schoolbook"/>
          <w:noProof/>
          <w:color w:val="000000"/>
          <w:szCs w:val="28"/>
          <w:lang w:bidi="he-IL"/>
        </w:rPr>
        <mc:AlternateContent>
          <mc:Choice Requires="wps">
            <w:drawing>
              <wp:anchor distT="0" distB="0" distL="114300" distR="114300" simplePos="0" relativeHeight="251658240" behindDoc="0" locked="0" layoutInCell="1" allowOverlap="1" wp14:anchorId="0C91A9AA" wp14:editId="331C01C3">
                <wp:simplePos x="0" y="0"/>
                <wp:positionH relativeFrom="column">
                  <wp:posOffset>3048000</wp:posOffset>
                </wp:positionH>
                <wp:positionV relativeFrom="paragraph">
                  <wp:posOffset>207010</wp:posOffset>
                </wp:positionV>
                <wp:extent cx="2266950" cy="0"/>
                <wp:effectExtent l="9525" t="7620" r="9525" b="11430"/>
                <wp:wrapNone/>
                <wp:docPr id="13368384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7B0AC13" id="_x0000_t32" coordsize="21600,21600" o:spt="32" o:oned="t" path="m,l21600,21600e" filled="f">
                <v:path arrowok="t" fillok="f" o:connecttype="none"/>
                <o:lock v:ext="edit" shapetype="t"/>
              </v:shapetype>
              <v:shape id="AutoShape 4" o:spid="_x0000_s1026" type="#_x0000_t32" style="position:absolute;margin-left:240pt;margin-top:16.3pt;width:1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"/>
            </w:pict>
          </mc:Fallback>
        </mc:AlternateContent>
      </w:r>
      <w:r w:rsidR="00C638C4" w:rsidRPr="0036636C">
        <w:rPr>
          <w:rFonts w:ascii="Century Schoolbook" w:hAnsi="Century Schoolbook"/>
          <w:color w:val="000000"/>
          <w:szCs w:val="28"/>
        </w:rPr>
        <w:tab/>
      </w:r>
      <w:r w:rsidR="00C638C4" w:rsidRPr="0036636C">
        <w:rPr>
          <w:rFonts w:ascii="Century Schoolbook" w:hAnsi="Century Schoolbook"/>
          <w:color w:val="000000"/>
          <w:szCs w:val="28"/>
        </w:rPr>
        <w:tab/>
      </w:r>
      <w:r w:rsidR="00C638C4" w:rsidRPr="0036636C">
        <w:rPr>
          <w:rFonts w:ascii="Century Schoolbook" w:hAnsi="Century Schoolbook"/>
          <w:color w:val="000000"/>
          <w:szCs w:val="28"/>
        </w:rPr>
        <w:tab/>
      </w:r>
      <w:r w:rsidR="00C638C4" w:rsidRPr="0036636C">
        <w:rPr>
          <w:rFonts w:ascii="Century Schoolbook" w:hAnsi="Century Schoolbook"/>
          <w:color w:val="000000"/>
          <w:szCs w:val="28"/>
        </w:rPr>
        <w:tab/>
      </w:r>
      <w:r w:rsidR="00C638C4" w:rsidRPr="0036636C">
        <w:rPr>
          <w:rFonts w:ascii="Century Schoolbook" w:hAnsi="Century Schoolbook"/>
          <w:color w:val="000000"/>
          <w:szCs w:val="28"/>
        </w:rPr>
        <w:tab/>
      </w:r>
      <w:r w:rsidR="00C638C4" w:rsidRPr="0036636C">
        <w:rPr>
          <w:rFonts w:ascii="Century Schoolbook" w:hAnsi="Century Schoolbook"/>
          <w:color w:val="000000"/>
          <w:szCs w:val="28"/>
        </w:rPr>
        <w:tab/>
        <w:t>BY:</w:t>
      </w:r>
      <w:r w:rsidR="00981741" w:rsidRPr="0036636C">
        <w:rPr>
          <w:rFonts w:ascii="Century Schoolbook" w:hAnsi="Century Schoolbook"/>
          <w:color w:val="000000"/>
          <w:szCs w:val="28"/>
        </w:rPr>
        <w:t xml:space="preserve"> </w:t>
      </w:r>
      <w:r w:rsidR="00C638C4" w:rsidRPr="0036636C">
        <w:rPr>
          <w:rFonts w:ascii="Century Schoolbook" w:hAnsi="Century Schoolbook"/>
          <w:i/>
          <w:color w:val="000000"/>
          <w:szCs w:val="28"/>
        </w:rPr>
        <w:t xml:space="preserve">/s/ </w:t>
      </w:r>
      <w:r w:rsidR="0061235C" w:rsidRPr="0036636C">
        <w:rPr>
          <w:rFonts w:ascii="Century Schoolbook" w:hAnsi="Century Schoolbook"/>
          <w:i/>
          <w:color w:val="000000"/>
          <w:szCs w:val="28"/>
          <w:highlight w:val="yellow"/>
        </w:rPr>
        <w:t>DRAFT</w:t>
      </w:r>
    </w:p>
    <w:p w14:paraId="0EBA248B" w14:textId="01A1F9F0" w:rsidR="00C638C4" w:rsidRPr="0036636C" w:rsidRDefault="00C638C4" w:rsidP="00424AB2">
      <w:pPr>
        <w:pStyle w:val="SingleSpaced"/>
        <w:spacing w:line="240" w:lineRule="auto"/>
        <w:rPr>
          <w:rFonts w:ascii="Century Schoolbook" w:hAnsi="Century Schoolbook"/>
          <w:color w:val="000000"/>
          <w:szCs w:val="28"/>
        </w:rPr>
      </w:pP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000A2491">
        <w:rPr>
          <w:rFonts w:ascii="Century Schoolbook" w:hAnsi="Century Schoolbook"/>
          <w:color w:val="000000"/>
          <w:szCs w:val="28"/>
        </w:rPr>
        <w:t xml:space="preserve">   </w:t>
      </w:r>
      <w:r w:rsidR="00981741" w:rsidRPr="0036636C">
        <w:rPr>
          <w:rFonts w:ascii="Century Schoolbook" w:hAnsi="Century Schoolbook"/>
          <w:color w:val="000000"/>
          <w:szCs w:val="28"/>
        </w:rPr>
        <w:t xml:space="preserve"> Josphine K. Petrick</w:t>
      </w:r>
    </w:p>
    <w:p w14:paraId="1618A3C4" w14:textId="38336E9C" w:rsidR="00C638C4" w:rsidRPr="0036636C" w:rsidRDefault="00314B97" w:rsidP="00424AB2">
      <w:pPr>
        <w:pStyle w:val="NormalDouble"/>
        <w:spacing w:line="240" w:lineRule="auto"/>
        <w:ind w:left="4770" w:firstLine="0"/>
        <w:rPr>
          <w:rFonts w:ascii="Century Schoolbook" w:hAnsi="Century Schoolbook"/>
          <w:iCs/>
          <w:color w:val="000000"/>
          <w:szCs w:val="28"/>
        </w:rPr>
      </w:pPr>
      <w:r>
        <w:rPr>
          <w:rFonts w:ascii="Century Schoolbook" w:hAnsi="Century Schoolbook"/>
          <w:iCs/>
          <w:color w:val="000000"/>
          <w:szCs w:val="28"/>
        </w:rPr>
        <w:t xml:space="preserve"> </w:t>
      </w:r>
      <w:r w:rsidR="00C638C4" w:rsidRPr="0036636C">
        <w:rPr>
          <w:rFonts w:ascii="Century Schoolbook" w:hAnsi="Century Schoolbook"/>
          <w:iCs/>
          <w:color w:val="000000"/>
          <w:szCs w:val="28"/>
        </w:rPr>
        <w:t>Attorneys for A</w:t>
      </w:r>
      <w:r w:rsidR="00981741" w:rsidRPr="0036636C">
        <w:rPr>
          <w:rFonts w:ascii="Century Schoolbook" w:hAnsi="Century Schoolbook"/>
          <w:iCs/>
          <w:color w:val="000000"/>
          <w:szCs w:val="28"/>
        </w:rPr>
        <w:t>mici Curiae</w:t>
      </w:r>
      <w:r w:rsidR="00C638C4" w:rsidRPr="0036636C">
        <w:rPr>
          <w:rFonts w:ascii="Century Schoolbook" w:hAnsi="Century Schoolbook"/>
          <w:iCs/>
          <w:color w:val="000000"/>
          <w:szCs w:val="28"/>
        </w:rPr>
        <w:t xml:space="preserve"> </w:t>
      </w:r>
    </w:p>
    <w:bookmarkEnd w:id="4"/>
    <w:bookmarkEnd w:id="5"/>
    <w:p w14:paraId="48FC2EEF" w14:textId="77777777" w:rsidR="00C638C4" w:rsidRPr="0036636C" w:rsidRDefault="00C638C4" w:rsidP="00C638C4">
      <w:pPr>
        <w:pStyle w:val="NormalDouble"/>
        <w:spacing w:line="240" w:lineRule="auto"/>
        <w:ind w:left="4320" w:firstLine="0"/>
        <w:rPr>
          <w:rFonts w:ascii="Century Schoolbook" w:hAnsi="Century Schoolbook"/>
          <w:i/>
          <w:color w:val="000000"/>
          <w:szCs w:val="28"/>
        </w:rPr>
      </w:pPr>
    </w:p>
    <w:p w14:paraId="05E60A53" w14:textId="77777777" w:rsidR="00C638C4" w:rsidRPr="0036636C" w:rsidRDefault="00C638C4" w:rsidP="00C638C4">
      <w:pPr>
        <w:pStyle w:val="NormalDouble"/>
        <w:spacing w:line="240" w:lineRule="auto"/>
        <w:ind w:left="4320" w:firstLine="0"/>
        <w:rPr>
          <w:rFonts w:ascii="Century Schoolbook" w:hAnsi="Century Schoolbook"/>
          <w:i/>
          <w:color w:val="000000"/>
          <w:szCs w:val="28"/>
        </w:rPr>
      </w:pPr>
    </w:p>
    <w:p w14:paraId="1E4722D5" w14:textId="77777777" w:rsidR="00C638C4" w:rsidRPr="0036636C" w:rsidRDefault="00C638C4" w:rsidP="00C638C4">
      <w:pPr>
        <w:pStyle w:val="NormalDouble"/>
        <w:spacing w:line="240" w:lineRule="auto"/>
        <w:ind w:left="4320" w:firstLine="0"/>
        <w:rPr>
          <w:rFonts w:ascii="Century Schoolbook" w:hAnsi="Century Schoolbook"/>
          <w:i/>
          <w:color w:val="000000"/>
          <w:szCs w:val="28"/>
        </w:rPr>
      </w:pPr>
    </w:p>
    <w:p w14:paraId="000AA40C" w14:textId="77777777" w:rsidR="00C638C4" w:rsidRPr="0036636C" w:rsidRDefault="00C638C4">
      <w:pPr>
        <w:pStyle w:val="SingleSpaced"/>
        <w:spacing w:line="240" w:lineRule="auto"/>
        <w:jc w:val="center"/>
        <w:rPr>
          <w:rFonts w:ascii="Century Schoolbook" w:hAnsi="Century Schoolbook"/>
          <w:b/>
          <w:szCs w:val="28"/>
        </w:rPr>
        <w:sectPr w:rsidR="00C638C4" w:rsidRPr="0036636C" w:rsidSect="00002ECD">
          <w:footerReference w:type="first" r:id="rId12"/>
          <w:pgSz w:w="12240" w:h="15840" w:code="1"/>
          <w:pgMar w:top="1440" w:right="1440" w:bottom="1440" w:left="1440" w:header="720" w:footer="720" w:gutter="0"/>
          <w:cols w:space="720"/>
          <w:titlePg/>
          <w:docGrid w:linePitch="360"/>
        </w:sectPr>
      </w:pPr>
    </w:p>
    <w:p w14:paraId="541BDD0A" w14:textId="77777777" w:rsidR="00C638C4" w:rsidRPr="0036636C" w:rsidRDefault="00C638C4">
      <w:pPr>
        <w:pStyle w:val="SingleSpaced"/>
        <w:spacing w:line="240" w:lineRule="auto"/>
        <w:jc w:val="center"/>
        <w:rPr>
          <w:rFonts w:ascii="Century Schoolbook" w:hAnsi="Century Schoolbook"/>
          <w:b/>
          <w:szCs w:val="28"/>
        </w:rPr>
      </w:pPr>
    </w:p>
    <w:p w14:paraId="0E80DA0C" w14:textId="77777777" w:rsidR="00C638C4" w:rsidRPr="0036636C" w:rsidRDefault="00C638C4">
      <w:pPr>
        <w:pStyle w:val="SingleSpaced"/>
        <w:spacing w:line="240" w:lineRule="auto"/>
        <w:jc w:val="center"/>
        <w:rPr>
          <w:rFonts w:ascii="Century Schoolbook" w:hAnsi="Century Schoolbook"/>
          <w:b/>
          <w:szCs w:val="28"/>
        </w:rPr>
      </w:pPr>
    </w:p>
    <w:p w14:paraId="4222DC7F" w14:textId="77777777" w:rsidR="00C638C4" w:rsidRPr="0036636C" w:rsidRDefault="00C638C4">
      <w:pPr>
        <w:pStyle w:val="SingleSpaced"/>
        <w:spacing w:line="240" w:lineRule="auto"/>
        <w:jc w:val="center"/>
        <w:rPr>
          <w:rFonts w:ascii="Century Schoolbook" w:hAnsi="Century Schoolbook"/>
          <w:b/>
          <w:szCs w:val="28"/>
        </w:rPr>
      </w:pPr>
    </w:p>
    <w:p w14:paraId="01873265" w14:textId="77777777" w:rsidR="00C638C4" w:rsidRPr="0036636C" w:rsidRDefault="00C638C4">
      <w:pPr>
        <w:pStyle w:val="SingleSpaced"/>
        <w:spacing w:line="240" w:lineRule="auto"/>
        <w:jc w:val="center"/>
        <w:rPr>
          <w:rFonts w:ascii="Century Schoolbook" w:hAnsi="Century Schoolbook"/>
          <w:b/>
          <w:szCs w:val="28"/>
        </w:rPr>
      </w:pPr>
    </w:p>
    <w:p w14:paraId="69266AB8" w14:textId="77777777" w:rsidR="00C638C4" w:rsidRPr="0036636C" w:rsidRDefault="00C638C4">
      <w:pPr>
        <w:pStyle w:val="SingleSpaced"/>
        <w:spacing w:line="240" w:lineRule="auto"/>
        <w:jc w:val="center"/>
        <w:rPr>
          <w:rFonts w:ascii="Century Schoolbook" w:hAnsi="Century Schoolbook"/>
          <w:b/>
          <w:szCs w:val="28"/>
        </w:rPr>
      </w:pPr>
    </w:p>
    <w:p w14:paraId="7F54272D" w14:textId="77777777" w:rsidR="00C638C4" w:rsidRPr="0036636C" w:rsidRDefault="00C638C4">
      <w:pPr>
        <w:pStyle w:val="SingleSpaced"/>
        <w:spacing w:line="240" w:lineRule="auto"/>
        <w:jc w:val="center"/>
        <w:rPr>
          <w:rFonts w:ascii="Century Schoolbook" w:hAnsi="Century Schoolbook"/>
          <w:b/>
          <w:szCs w:val="28"/>
        </w:rPr>
      </w:pPr>
    </w:p>
    <w:p w14:paraId="10F85F24" w14:textId="77777777" w:rsidR="00C638C4" w:rsidRPr="0036636C" w:rsidRDefault="00C638C4">
      <w:pPr>
        <w:pStyle w:val="SingleSpaced"/>
        <w:spacing w:line="240" w:lineRule="auto"/>
        <w:jc w:val="center"/>
        <w:rPr>
          <w:rFonts w:ascii="Century Schoolbook" w:hAnsi="Century Schoolbook"/>
          <w:b/>
          <w:szCs w:val="28"/>
        </w:rPr>
      </w:pPr>
    </w:p>
    <w:p w14:paraId="347E3055" w14:textId="77777777" w:rsidR="00C638C4" w:rsidRPr="0036636C" w:rsidRDefault="00C638C4">
      <w:pPr>
        <w:pStyle w:val="SingleSpaced"/>
        <w:spacing w:line="240" w:lineRule="auto"/>
        <w:jc w:val="center"/>
        <w:rPr>
          <w:rFonts w:ascii="Century Schoolbook" w:hAnsi="Century Schoolbook"/>
          <w:b/>
          <w:szCs w:val="28"/>
        </w:rPr>
      </w:pPr>
    </w:p>
    <w:p w14:paraId="566CF511" w14:textId="77777777" w:rsidR="00981741" w:rsidRPr="0036636C" w:rsidRDefault="00981741">
      <w:pPr>
        <w:pStyle w:val="SingleSpaced"/>
        <w:spacing w:line="240" w:lineRule="auto"/>
        <w:jc w:val="center"/>
        <w:rPr>
          <w:rFonts w:ascii="Century Schoolbook" w:hAnsi="Century Schoolbook"/>
          <w:b/>
          <w:szCs w:val="28"/>
        </w:rPr>
      </w:pPr>
    </w:p>
    <w:p w14:paraId="50EBEDFA" w14:textId="77777777" w:rsidR="00981741" w:rsidRPr="0036636C" w:rsidRDefault="00981741">
      <w:pPr>
        <w:pStyle w:val="SingleSpaced"/>
        <w:spacing w:line="240" w:lineRule="auto"/>
        <w:jc w:val="center"/>
        <w:rPr>
          <w:rFonts w:ascii="Century Schoolbook" w:hAnsi="Century Schoolbook"/>
          <w:b/>
          <w:szCs w:val="28"/>
        </w:rPr>
      </w:pPr>
    </w:p>
    <w:p w14:paraId="7FC81B73" w14:textId="77777777" w:rsidR="00981741" w:rsidRPr="0036636C" w:rsidRDefault="00981741">
      <w:pPr>
        <w:pStyle w:val="SingleSpaced"/>
        <w:spacing w:line="240" w:lineRule="auto"/>
        <w:jc w:val="center"/>
        <w:rPr>
          <w:rFonts w:ascii="Century Schoolbook" w:hAnsi="Century Schoolbook"/>
          <w:b/>
          <w:szCs w:val="28"/>
        </w:rPr>
      </w:pPr>
    </w:p>
    <w:p w14:paraId="4654BF0E" w14:textId="77777777" w:rsidR="00424AB2" w:rsidRPr="0036636C" w:rsidRDefault="00424AB2">
      <w:pPr>
        <w:pStyle w:val="SingleSpaced"/>
        <w:spacing w:line="240" w:lineRule="auto"/>
        <w:jc w:val="center"/>
        <w:rPr>
          <w:rFonts w:ascii="Century Schoolbook" w:hAnsi="Century Schoolbook"/>
          <w:b/>
          <w:szCs w:val="28"/>
        </w:rPr>
      </w:pPr>
    </w:p>
    <w:p w14:paraId="261EBAF7" w14:textId="77777777" w:rsidR="00981741" w:rsidRPr="0036636C" w:rsidRDefault="00981741">
      <w:pPr>
        <w:pStyle w:val="SingleSpaced"/>
        <w:spacing w:line="240" w:lineRule="auto"/>
        <w:jc w:val="center"/>
        <w:rPr>
          <w:rFonts w:ascii="Century Schoolbook" w:hAnsi="Century Schoolbook"/>
          <w:b/>
          <w:szCs w:val="28"/>
        </w:rPr>
      </w:pPr>
    </w:p>
    <w:p w14:paraId="44553EAC" w14:textId="77777777" w:rsidR="00981741" w:rsidRPr="0036636C" w:rsidRDefault="00981741">
      <w:pPr>
        <w:pStyle w:val="SingleSpaced"/>
        <w:spacing w:line="240" w:lineRule="auto"/>
        <w:jc w:val="center"/>
        <w:rPr>
          <w:rFonts w:ascii="Century Schoolbook" w:hAnsi="Century Schoolbook"/>
          <w:b/>
          <w:szCs w:val="28"/>
        </w:rPr>
      </w:pPr>
    </w:p>
    <w:p w14:paraId="0ED99F06" w14:textId="2366A96B" w:rsidR="00134752" w:rsidRPr="0036636C" w:rsidRDefault="00134752" w:rsidP="00DE4699">
      <w:pPr>
        <w:pStyle w:val="Heading0"/>
      </w:pPr>
      <w:bookmarkStart w:id="6" w:name="_Toc202911618"/>
      <w:r w:rsidRPr="0036636C">
        <w:lastRenderedPageBreak/>
        <w:t>TABLE OF CONTENTS</w:t>
      </w:r>
      <w:bookmarkEnd w:id="6"/>
    </w:p>
    <w:sdt>
      <w:sdtPr>
        <w:rPr>
          <w:rFonts w:ascii="Century Schoolbook" w:hAnsi="Century Schoolbook"/>
          <w:b/>
          <w:bCs/>
          <w:caps/>
        </w:rPr>
        <w:id w:val="-743027550"/>
        <w:docPartObj>
          <w:docPartGallery w:val="Table of Contents"/>
          <w:docPartUnique/>
        </w:docPartObj>
      </w:sdtPr>
      <w:sdtEndPr>
        <w:rPr>
          <w:b w:val="0"/>
          <w:bCs w:val="0"/>
          <w:caps w:val="0"/>
          <w:noProof/>
        </w:rPr>
      </w:sdtEndPr>
      <w:sdtContent>
        <w:p w14:paraId="0A028A51" w14:textId="6DAA0896" w:rsidR="00874A3B" w:rsidRPr="00874A3B" w:rsidRDefault="00951EDB" w:rsidP="00874A3B">
          <w:pPr>
            <w:pStyle w:val="TOC1"/>
            <w:rPr>
              <w:rFonts w:ascii="Century Schoolbook" w:eastAsia="MS Gothic" w:hAnsi="Century Schoolbook"/>
              <w:noProof/>
            </w:rPr>
          </w:pPr>
          <w:r w:rsidRPr="00874A3B">
            <w:rPr>
              <w:rStyle w:val="Hyperlink"/>
            </w:rPr>
            <w:fldChar w:fldCharType="begin"/>
          </w:r>
          <w:r w:rsidRPr="00874A3B">
            <w:rPr>
              <w:rStyle w:val="Hyperlink"/>
              <w:rFonts w:ascii="Century Schoolbook" w:hAnsi="Century Schoolbook"/>
              <w:noProof/>
            </w:rPr>
            <w:instrText xml:space="preserve"> TOC \o "1-3" \h \z \u </w:instrText>
          </w:r>
          <w:r w:rsidRPr="00874A3B">
            <w:rPr>
              <w:rStyle w:val="Hyperlink"/>
            </w:rPr>
            <w:fldChar w:fldCharType="separate"/>
          </w:r>
          <w:hyperlink w:anchor="_Toc202911617" w:history="1">
            <w:r w:rsidR="00874A3B" w:rsidRPr="00874A3B">
              <w:rPr>
                <w:rStyle w:val="Hyperlink"/>
                <w:rFonts w:ascii="Century Schoolbook" w:hAnsi="Century Schoolbook"/>
                <w:noProof/>
              </w:rPr>
              <w:t>DISCLOSURE STATEMENT</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_Toc202911617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2</w:t>
            </w:r>
            <w:r w:rsidR="00874A3B" w:rsidRPr="00874A3B">
              <w:rPr>
                <w:rFonts w:ascii="Century Schoolbook" w:hAnsi="Century Schoolbook"/>
                <w:noProof/>
                <w:webHidden/>
              </w:rPr>
              <w:fldChar w:fldCharType="end"/>
            </w:r>
          </w:hyperlink>
        </w:p>
        <w:p w14:paraId="52AEC08D" w14:textId="2FE01FB0"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19" w:history="1">
            <w:r w:rsidR="00874A3B" w:rsidRPr="00874A3B">
              <w:rPr>
                <w:rStyle w:val="Hyperlink"/>
                <w:rFonts w:ascii="Century Schoolbook" w:hAnsi="Century Schoolbook"/>
                <w:noProof/>
              </w:rPr>
              <w:t>TABLE OF AUTHORITIES</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_Toc202911619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4</w:t>
            </w:r>
            <w:r w:rsidR="00874A3B" w:rsidRPr="00874A3B">
              <w:rPr>
                <w:rFonts w:ascii="Century Schoolbook" w:hAnsi="Century Schoolbook"/>
                <w:noProof/>
                <w:webHidden/>
              </w:rPr>
              <w:fldChar w:fldCharType="end"/>
            </w:r>
          </w:hyperlink>
        </w:p>
        <w:p w14:paraId="151DB05A" w14:textId="121EBBD3"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20" w:history="1">
            <w:r w:rsidR="00874A3B" w:rsidRPr="00874A3B">
              <w:rPr>
                <w:rStyle w:val="Hyperlink"/>
                <w:rFonts w:ascii="Century Schoolbook" w:hAnsi="Century Schoolbook"/>
                <w:noProof/>
              </w:rPr>
              <w:t>INTEREST OF AMICI</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_Toc202911620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5</w:t>
            </w:r>
            <w:r w:rsidR="00874A3B" w:rsidRPr="00874A3B">
              <w:rPr>
                <w:rFonts w:ascii="Century Schoolbook" w:hAnsi="Century Schoolbook"/>
                <w:noProof/>
                <w:webHidden/>
              </w:rPr>
              <w:fldChar w:fldCharType="end"/>
            </w:r>
          </w:hyperlink>
        </w:p>
        <w:p w14:paraId="2F0318FB" w14:textId="7D384551"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21" w:history="1">
            <w:r w:rsidR="00874A3B" w:rsidRPr="00874A3B">
              <w:rPr>
                <w:rStyle w:val="Hyperlink"/>
                <w:rFonts w:ascii="Century Schoolbook" w:hAnsi="Century Schoolbook"/>
                <w:noProof/>
              </w:rPr>
              <w:t>INTRODUCTION</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_Toc202911621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8</w:t>
            </w:r>
            <w:r w:rsidR="00874A3B" w:rsidRPr="00874A3B">
              <w:rPr>
                <w:rFonts w:ascii="Century Schoolbook" w:hAnsi="Century Schoolbook"/>
                <w:noProof/>
                <w:webHidden/>
              </w:rPr>
              <w:fldChar w:fldCharType="end"/>
            </w:r>
          </w:hyperlink>
        </w:p>
        <w:p w14:paraId="24E21613" w14:textId="5448371D"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22" w:history="1">
            <w:r w:rsidR="00874A3B" w:rsidRPr="00874A3B">
              <w:rPr>
                <w:rStyle w:val="Hyperlink"/>
                <w:rFonts w:ascii="Century Schoolbook" w:hAnsi="Century Schoolbook"/>
                <w:noProof/>
              </w:rPr>
              <w:t>ARGUMENT</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_Toc202911622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9</w:t>
            </w:r>
            <w:r w:rsidR="00874A3B" w:rsidRPr="00874A3B">
              <w:rPr>
                <w:rFonts w:ascii="Century Schoolbook" w:hAnsi="Century Schoolbook"/>
                <w:noProof/>
                <w:webHidden/>
              </w:rPr>
              <w:fldChar w:fldCharType="end"/>
            </w:r>
          </w:hyperlink>
        </w:p>
        <w:p w14:paraId="107595EC" w14:textId="004BFC87"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23" w:history="1">
            <w:r w:rsidR="00874A3B" w:rsidRPr="00874A3B">
              <w:rPr>
                <w:rStyle w:val="Hyperlink"/>
                <w:rFonts w:ascii="Century Schoolbook" w:hAnsi="Century Schoolbook"/>
                <w:noProof/>
              </w:rPr>
              <w:t>I.</w:t>
            </w:r>
            <w:r w:rsidR="00874A3B" w:rsidRPr="00874A3B">
              <w:rPr>
                <w:rFonts w:ascii="Century Schoolbook" w:eastAsiaTheme="minorEastAsia" w:hAnsi="Century Schoolbook" w:cstheme="minorBidi"/>
                <w:noProof/>
                <w:kern w:val="2"/>
                <w:sz w:val="24"/>
                <w14:ligatures w14:val="standardContextual"/>
              </w:rPr>
              <w:tab/>
            </w:r>
            <w:r w:rsidR="00874A3B" w:rsidRPr="00874A3B">
              <w:rPr>
                <w:rStyle w:val="Hyperlink"/>
                <w:rFonts w:ascii="Century Schoolbook" w:hAnsi="Century Schoolbook"/>
                <w:i/>
                <w:iCs/>
                <w:noProof/>
              </w:rPr>
              <w:t>Bowen</w:t>
            </w:r>
            <w:r w:rsidR="00874A3B" w:rsidRPr="00874A3B">
              <w:rPr>
                <w:rStyle w:val="Hyperlink"/>
                <w:rFonts w:ascii="Century Schoolbook" w:hAnsi="Century Schoolbook"/>
                <w:noProof/>
              </w:rPr>
              <w:t xml:space="preserve"> is super-strong statutory stare decisis on the APA and the Tucker Act—and thus confirms the district court’s jurisdiction.</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_Toc202911623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9</w:t>
            </w:r>
            <w:r w:rsidR="00874A3B" w:rsidRPr="00874A3B">
              <w:rPr>
                <w:rFonts w:ascii="Century Schoolbook" w:hAnsi="Century Schoolbook"/>
                <w:noProof/>
                <w:webHidden/>
              </w:rPr>
              <w:fldChar w:fldCharType="end"/>
            </w:r>
          </w:hyperlink>
        </w:p>
        <w:p w14:paraId="0A0528FF" w14:textId="4134C053" w:rsidR="00874A3B" w:rsidRPr="00874A3B" w:rsidRDefault="003F5D24">
          <w:pPr>
            <w:pStyle w:val="TOC2"/>
            <w:tabs>
              <w:tab w:val="left" w:pos="1440"/>
              <w:tab w:val="right" w:leader="dot" w:pos="9350"/>
            </w:tabs>
            <w:rPr>
              <w:rFonts w:ascii="Century Schoolbook" w:eastAsiaTheme="minorEastAsia" w:hAnsi="Century Schoolbook" w:cstheme="minorBidi"/>
              <w:noProof/>
              <w:kern w:val="2"/>
              <w:sz w:val="24"/>
              <w14:ligatures w14:val="standardContextual"/>
            </w:rPr>
          </w:pPr>
          <w:hyperlink w:anchor="_Toc202911624" w:history="1">
            <w:r w:rsidR="00874A3B" w:rsidRPr="00874A3B">
              <w:rPr>
                <w:rStyle w:val="Hyperlink"/>
                <w:rFonts w:ascii="Century Schoolbook" w:hAnsi="Century Schoolbook"/>
                <w:noProof/>
              </w:rPr>
              <w:t>A.</w:t>
            </w:r>
            <w:r w:rsidR="00874A3B" w:rsidRPr="00874A3B">
              <w:rPr>
                <w:rFonts w:ascii="Century Schoolbook" w:eastAsiaTheme="minorEastAsia" w:hAnsi="Century Schoolbook" w:cstheme="minorBidi"/>
                <w:noProof/>
                <w:kern w:val="2"/>
                <w:sz w:val="24"/>
                <w14:ligatures w14:val="standardContextual"/>
              </w:rPr>
              <w:tab/>
            </w:r>
            <w:r w:rsidR="00874A3B" w:rsidRPr="00874A3B">
              <w:rPr>
                <w:rStyle w:val="Hyperlink"/>
                <w:rFonts w:ascii="Century Schoolbook" w:hAnsi="Century Schoolbook"/>
                <w:i/>
                <w:iCs/>
                <w:noProof/>
              </w:rPr>
              <w:t xml:space="preserve">Bowen </w:t>
            </w:r>
            <w:r w:rsidR="00874A3B" w:rsidRPr="00874A3B">
              <w:rPr>
                <w:rStyle w:val="Hyperlink"/>
                <w:rFonts w:ascii="Century Schoolbook" w:hAnsi="Century Schoolbook"/>
                <w:noProof/>
              </w:rPr>
              <w:t>construed Congress’s allocation of jurisdictional authority as between the district courts in the APA and the Court of Federal Claims in the Tucker Act.</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_Toc202911624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10</w:t>
            </w:r>
            <w:r w:rsidR="00874A3B" w:rsidRPr="00874A3B">
              <w:rPr>
                <w:rFonts w:ascii="Century Schoolbook" w:hAnsi="Century Schoolbook"/>
                <w:noProof/>
                <w:webHidden/>
              </w:rPr>
              <w:fldChar w:fldCharType="end"/>
            </w:r>
          </w:hyperlink>
        </w:p>
        <w:p w14:paraId="03028333" w14:textId="7BA5BD30" w:rsidR="00874A3B" w:rsidRPr="00874A3B" w:rsidRDefault="003F5D24">
          <w:pPr>
            <w:pStyle w:val="TOC2"/>
            <w:tabs>
              <w:tab w:val="left" w:pos="1440"/>
              <w:tab w:val="right" w:leader="dot" w:pos="9350"/>
            </w:tabs>
            <w:rPr>
              <w:rFonts w:ascii="Century Schoolbook" w:eastAsiaTheme="minorEastAsia" w:hAnsi="Century Schoolbook" w:cstheme="minorBidi"/>
              <w:noProof/>
              <w:kern w:val="2"/>
              <w:sz w:val="24"/>
              <w14:ligatures w14:val="standardContextual"/>
            </w:rPr>
          </w:pPr>
          <w:hyperlink w:anchor="_Toc202911625" w:history="1">
            <w:r w:rsidR="00874A3B" w:rsidRPr="00874A3B">
              <w:rPr>
                <w:rStyle w:val="Hyperlink"/>
                <w:rFonts w:ascii="Century Schoolbook" w:hAnsi="Century Schoolbook"/>
                <w:noProof/>
              </w:rPr>
              <w:t>B.</w:t>
            </w:r>
            <w:r w:rsidR="00874A3B" w:rsidRPr="00874A3B">
              <w:rPr>
                <w:rFonts w:ascii="Century Schoolbook" w:eastAsiaTheme="minorEastAsia" w:hAnsi="Century Schoolbook" w:cstheme="minorBidi"/>
                <w:noProof/>
                <w:kern w:val="2"/>
                <w:sz w:val="24"/>
                <w14:ligatures w14:val="standardContextual"/>
              </w:rPr>
              <w:tab/>
            </w:r>
            <w:r w:rsidR="00874A3B" w:rsidRPr="00874A3B">
              <w:rPr>
                <w:rStyle w:val="Hyperlink"/>
                <w:rFonts w:ascii="Century Schoolbook" w:hAnsi="Century Schoolbook"/>
                <w:i/>
                <w:iCs/>
                <w:noProof/>
              </w:rPr>
              <w:t xml:space="preserve">Bowen </w:t>
            </w:r>
            <w:r w:rsidR="00874A3B" w:rsidRPr="00874A3B">
              <w:rPr>
                <w:rStyle w:val="Hyperlink"/>
                <w:rFonts w:ascii="Century Schoolbook" w:hAnsi="Century Schoolbook"/>
                <w:noProof/>
              </w:rPr>
              <w:t>must be deemed to be Congress’s final word until it modifies the relevant statutes because statutory precedents are entitled to “superpowered” stare decisis status.</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_Toc202911625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15</w:t>
            </w:r>
            <w:r w:rsidR="00874A3B" w:rsidRPr="00874A3B">
              <w:rPr>
                <w:rFonts w:ascii="Century Schoolbook" w:hAnsi="Century Schoolbook"/>
                <w:noProof/>
                <w:webHidden/>
              </w:rPr>
              <w:fldChar w:fldCharType="end"/>
            </w:r>
          </w:hyperlink>
        </w:p>
        <w:p w14:paraId="126FF6B9" w14:textId="7DD92B22"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26" w:history="1">
            <w:r w:rsidR="00874A3B" w:rsidRPr="00874A3B">
              <w:rPr>
                <w:rStyle w:val="Hyperlink"/>
                <w:rFonts w:ascii="Century Schoolbook" w:hAnsi="Century Schoolbook"/>
                <w:noProof/>
              </w:rPr>
              <w:t>II.</w:t>
            </w:r>
            <w:r w:rsidR="00874A3B" w:rsidRPr="00874A3B">
              <w:rPr>
                <w:rFonts w:ascii="Century Schoolbook" w:eastAsiaTheme="minorEastAsia" w:hAnsi="Century Schoolbook" w:cstheme="minorBidi"/>
                <w:noProof/>
                <w:kern w:val="2"/>
                <w:sz w:val="24"/>
                <w14:ligatures w14:val="standardContextual"/>
              </w:rPr>
              <w:tab/>
            </w:r>
            <w:r w:rsidR="00874A3B" w:rsidRPr="00874A3B">
              <w:rPr>
                <w:rStyle w:val="Hyperlink"/>
                <w:rFonts w:ascii="Century Schoolbook" w:hAnsi="Century Schoolbook"/>
                <w:noProof/>
              </w:rPr>
              <w:t xml:space="preserve">The </w:t>
            </w:r>
            <w:r w:rsidR="00874A3B" w:rsidRPr="00874A3B">
              <w:rPr>
                <w:rStyle w:val="Hyperlink"/>
                <w:rFonts w:ascii="Century Schoolbook" w:hAnsi="Century Schoolbook"/>
                <w:i/>
                <w:iCs/>
                <w:noProof/>
              </w:rPr>
              <w:t>Department of Education</w:t>
            </w:r>
            <w:r w:rsidR="00874A3B" w:rsidRPr="00874A3B">
              <w:rPr>
                <w:rStyle w:val="Hyperlink"/>
                <w:rFonts w:ascii="Century Schoolbook" w:hAnsi="Century Schoolbook"/>
                <w:noProof/>
              </w:rPr>
              <w:t xml:space="preserve"> per curiam stay order cannot have overruled </w:t>
            </w:r>
            <w:r w:rsidR="00874A3B" w:rsidRPr="00874A3B">
              <w:rPr>
                <w:rStyle w:val="Hyperlink"/>
                <w:rFonts w:ascii="Century Schoolbook" w:hAnsi="Century Schoolbook"/>
                <w:i/>
                <w:iCs/>
                <w:noProof/>
              </w:rPr>
              <w:t>Bowen</w:t>
            </w:r>
            <w:r w:rsidR="00874A3B" w:rsidRPr="00874A3B">
              <w:rPr>
                <w:rStyle w:val="Hyperlink"/>
                <w:rFonts w:ascii="Century Schoolbook" w:hAnsi="Century Schoolbook"/>
                <w:noProof/>
              </w:rPr>
              <w:t>, and was based on unique circumstances not present here.</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_Toc202911626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18</w:t>
            </w:r>
            <w:r w:rsidR="00874A3B" w:rsidRPr="00874A3B">
              <w:rPr>
                <w:rFonts w:ascii="Century Schoolbook" w:hAnsi="Century Schoolbook"/>
                <w:noProof/>
                <w:webHidden/>
              </w:rPr>
              <w:fldChar w:fldCharType="end"/>
            </w:r>
          </w:hyperlink>
        </w:p>
        <w:p w14:paraId="6C58DDB7" w14:textId="187E8CB6" w:rsidR="00874A3B" w:rsidRPr="00874A3B" w:rsidRDefault="003F5D24">
          <w:pPr>
            <w:pStyle w:val="TOC2"/>
            <w:tabs>
              <w:tab w:val="left" w:pos="1440"/>
              <w:tab w:val="right" w:leader="dot" w:pos="9350"/>
            </w:tabs>
            <w:rPr>
              <w:rFonts w:ascii="Century Schoolbook" w:eastAsiaTheme="minorEastAsia" w:hAnsi="Century Schoolbook" w:cstheme="minorBidi"/>
              <w:noProof/>
              <w:kern w:val="2"/>
              <w:sz w:val="24"/>
              <w14:ligatures w14:val="standardContextual"/>
            </w:rPr>
          </w:pPr>
          <w:hyperlink w:anchor="_Toc202911627" w:history="1">
            <w:r w:rsidR="00874A3B" w:rsidRPr="00874A3B">
              <w:rPr>
                <w:rStyle w:val="Hyperlink"/>
                <w:rFonts w:ascii="Century Schoolbook" w:hAnsi="Century Schoolbook"/>
                <w:noProof/>
              </w:rPr>
              <w:t>A.</w:t>
            </w:r>
            <w:r w:rsidR="00874A3B" w:rsidRPr="00874A3B">
              <w:rPr>
                <w:rFonts w:ascii="Century Schoolbook" w:eastAsiaTheme="minorEastAsia" w:hAnsi="Century Schoolbook" w:cstheme="minorBidi"/>
                <w:noProof/>
                <w:kern w:val="2"/>
                <w:sz w:val="24"/>
                <w14:ligatures w14:val="standardContextual"/>
              </w:rPr>
              <w:tab/>
            </w:r>
            <w:r w:rsidR="00874A3B" w:rsidRPr="00874A3B">
              <w:rPr>
                <w:rStyle w:val="Hyperlink"/>
                <w:rFonts w:ascii="Century Schoolbook" w:hAnsi="Century Schoolbook"/>
                <w:noProof/>
              </w:rPr>
              <w:t xml:space="preserve">The Supreme Court did not </w:t>
            </w:r>
            <w:r w:rsidR="00874A3B" w:rsidRPr="00874A3B">
              <w:rPr>
                <w:rStyle w:val="Hyperlink"/>
                <w:rFonts w:ascii="Century Schoolbook" w:hAnsi="Century Schoolbook"/>
                <w:i/>
                <w:iCs/>
                <w:noProof/>
              </w:rPr>
              <w:t>sub silentio</w:t>
            </w:r>
            <w:r w:rsidR="00874A3B" w:rsidRPr="00874A3B">
              <w:rPr>
                <w:rStyle w:val="Hyperlink"/>
                <w:rFonts w:ascii="Century Schoolbook" w:hAnsi="Century Schoolbook"/>
                <w:noProof/>
              </w:rPr>
              <w:t xml:space="preserve"> overrule </w:t>
            </w:r>
            <w:r w:rsidR="00874A3B" w:rsidRPr="00874A3B">
              <w:rPr>
                <w:rStyle w:val="Hyperlink"/>
                <w:rFonts w:ascii="Century Schoolbook" w:hAnsi="Century Schoolbook"/>
                <w:i/>
                <w:iCs/>
                <w:noProof/>
              </w:rPr>
              <w:t>Bowen</w:t>
            </w:r>
            <w:r w:rsidR="00874A3B" w:rsidRPr="00874A3B">
              <w:rPr>
                <w:rStyle w:val="Hyperlink"/>
                <w:rFonts w:ascii="Century Schoolbook" w:hAnsi="Century Schoolbook"/>
                <w:noProof/>
              </w:rPr>
              <w:t xml:space="preserve"> through its per curiam emergency stay order in </w:t>
            </w:r>
            <w:r w:rsidR="00874A3B" w:rsidRPr="00874A3B">
              <w:rPr>
                <w:rStyle w:val="Hyperlink"/>
                <w:rFonts w:ascii="Century Schoolbook" w:hAnsi="Century Schoolbook"/>
                <w:i/>
                <w:iCs/>
                <w:noProof/>
              </w:rPr>
              <w:t>Department of Education</w:t>
            </w:r>
            <w:r w:rsidR="00874A3B" w:rsidRPr="00874A3B">
              <w:rPr>
                <w:rStyle w:val="Hyperlink"/>
                <w:rFonts w:ascii="Century Schoolbook" w:hAnsi="Century Schoolbook"/>
                <w:noProof/>
              </w:rPr>
              <w:t>.</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_Toc202911627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19</w:t>
            </w:r>
            <w:r w:rsidR="00874A3B" w:rsidRPr="00874A3B">
              <w:rPr>
                <w:rFonts w:ascii="Century Schoolbook" w:hAnsi="Century Schoolbook"/>
                <w:noProof/>
                <w:webHidden/>
              </w:rPr>
              <w:fldChar w:fldCharType="end"/>
            </w:r>
          </w:hyperlink>
        </w:p>
        <w:p w14:paraId="283EA367" w14:textId="437384D3" w:rsidR="00874A3B" w:rsidRPr="00874A3B" w:rsidRDefault="003F5D24">
          <w:pPr>
            <w:pStyle w:val="TOC2"/>
            <w:tabs>
              <w:tab w:val="left" w:pos="1440"/>
              <w:tab w:val="right" w:leader="dot" w:pos="9350"/>
            </w:tabs>
            <w:rPr>
              <w:rFonts w:ascii="Century Schoolbook" w:eastAsiaTheme="minorEastAsia" w:hAnsi="Century Schoolbook" w:cstheme="minorBidi"/>
              <w:noProof/>
              <w:kern w:val="2"/>
              <w:sz w:val="24"/>
              <w14:ligatures w14:val="standardContextual"/>
            </w:rPr>
          </w:pPr>
          <w:hyperlink w:anchor="_Toc202911628" w:history="1">
            <w:r w:rsidR="00874A3B" w:rsidRPr="00874A3B">
              <w:rPr>
                <w:rStyle w:val="Hyperlink"/>
                <w:rFonts w:ascii="Century Schoolbook" w:hAnsi="Century Schoolbook"/>
                <w:noProof/>
              </w:rPr>
              <w:t>B.</w:t>
            </w:r>
            <w:r w:rsidR="00874A3B" w:rsidRPr="00874A3B">
              <w:rPr>
                <w:rFonts w:ascii="Century Schoolbook" w:eastAsiaTheme="minorEastAsia" w:hAnsi="Century Schoolbook" w:cstheme="minorBidi"/>
                <w:noProof/>
                <w:kern w:val="2"/>
                <w:sz w:val="24"/>
                <w14:ligatures w14:val="standardContextual"/>
              </w:rPr>
              <w:tab/>
            </w:r>
            <w:r w:rsidR="00874A3B" w:rsidRPr="00874A3B">
              <w:rPr>
                <w:rStyle w:val="Hyperlink"/>
                <w:rFonts w:ascii="Century Schoolbook" w:hAnsi="Century Schoolbook"/>
                <w:i/>
                <w:iCs/>
                <w:noProof/>
              </w:rPr>
              <w:t>Department of Education</w:t>
            </w:r>
            <w:r w:rsidR="00874A3B" w:rsidRPr="00874A3B">
              <w:rPr>
                <w:rStyle w:val="Hyperlink"/>
                <w:rFonts w:ascii="Century Schoolbook" w:hAnsi="Century Schoolbook"/>
                <w:noProof/>
              </w:rPr>
              <w:t xml:space="preserve"> is also inapposite because the </w:t>
            </w:r>
            <w:r w:rsidR="00874A3B" w:rsidRPr="00874A3B">
              <w:rPr>
                <w:rStyle w:val="Hyperlink"/>
                <w:rFonts w:ascii="Century Schoolbook" w:hAnsi="Century Schoolbook"/>
                <w:i/>
                <w:iCs/>
                <w:noProof/>
              </w:rPr>
              <w:t>CLS</w:t>
            </w:r>
            <w:r w:rsidR="00874A3B" w:rsidRPr="00874A3B">
              <w:rPr>
                <w:rStyle w:val="Hyperlink"/>
                <w:rFonts w:ascii="Century Schoolbook" w:hAnsi="Century Schoolbook"/>
                <w:noProof/>
              </w:rPr>
              <w:t xml:space="preserve"> plaintiffs do not and could not seek past monetary relief—only prospective compliance with federal law.</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_Toc202911628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27</w:t>
            </w:r>
            <w:r w:rsidR="00874A3B" w:rsidRPr="00874A3B">
              <w:rPr>
                <w:rFonts w:ascii="Century Schoolbook" w:hAnsi="Century Schoolbook"/>
                <w:noProof/>
                <w:webHidden/>
              </w:rPr>
              <w:fldChar w:fldCharType="end"/>
            </w:r>
          </w:hyperlink>
        </w:p>
        <w:p w14:paraId="060F6BE1" w14:textId="1E47F694"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29" w:history="1">
            <w:r w:rsidR="00874A3B" w:rsidRPr="00874A3B">
              <w:rPr>
                <w:rStyle w:val="Hyperlink"/>
                <w:rFonts w:ascii="Century Schoolbook" w:hAnsi="Century Schoolbook"/>
                <w:noProof/>
              </w:rPr>
              <w:t>CONCLUSION</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_Toc202911629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36</w:t>
            </w:r>
            <w:r w:rsidR="00874A3B" w:rsidRPr="00874A3B">
              <w:rPr>
                <w:rFonts w:ascii="Century Schoolbook" w:hAnsi="Century Schoolbook"/>
                <w:noProof/>
                <w:webHidden/>
              </w:rPr>
              <w:fldChar w:fldCharType="end"/>
            </w:r>
          </w:hyperlink>
        </w:p>
        <w:p w14:paraId="18AA58D4" w14:textId="3213C033" w:rsidR="00874A3B" w:rsidRPr="00874A3B" w:rsidRDefault="003F5D24">
          <w:pPr>
            <w:pStyle w:val="TOC1"/>
            <w:rPr>
              <w:rFonts w:ascii="Century Schoolbook" w:eastAsiaTheme="minorEastAsia" w:hAnsi="Century Schoolbook" w:cstheme="minorBidi"/>
              <w:noProof/>
              <w:kern w:val="2"/>
              <w:sz w:val="24"/>
              <w14:ligatures w14:val="standardContextual"/>
            </w:rPr>
          </w:pPr>
          <w:hyperlink w:anchor="_Toc202911630" w:history="1">
            <w:r w:rsidR="00874A3B" w:rsidRPr="00874A3B">
              <w:rPr>
                <w:rStyle w:val="Hyperlink"/>
                <w:rFonts w:ascii="Century Schoolbook" w:hAnsi="Century Schoolbook"/>
                <w:noProof/>
              </w:rPr>
              <w:t>CERTIFICATE OF COMPLIANCE</w:t>
            </w:r>
            <w:r w:rsidR="00874A3B" w:rsidRPr="00874A3B">
              <w:rPr>
                <w:rFonts w:ascii="Century Schoolbook" w:hAnsi="Century Schoolbook"/>
                <w:noProof/>
                <w:webHidden/>
              </w:rPr>
              <w:tab/>
            </w:r>
            <w:r w:rsidR="00874A3B" w:rsidRPr="00874A3B">
              <w:rPr>
                <w:rFonts w:ascii="Century Schoolbook" w:hAnsi="Century Schoolbook"/>
                <w:noProof/>
                <w:webHidden/>
              </w:rPr>
              <w:fldChar w:fldCharType="begin"/>
            </w:r>
            <w:r w:rsidR="00874A3B" w:rsidRPr="00874A3B">
              <w:rPr>
                <w:rFonts w:ascii="Century Schoolbook" w:hAnsi="Century Schoolbook"/>
                <w:noProof/>
                <w:webHidden/>
              </w:rPr>
              <w:instrText xml:space="preserve"> PAGEREF _Toc202911630 \h </w:instrText>
            </w:r>
            <w:r w:rsidR="00874A3B" w:rsidRPr="00874A3B">
              <w:rPr>
                <w:rFonts w:ascii="Century Schoolbook" w:hAnsi="Century Schoolbook"/>
                <w:noProof/>
                <w:webHidden/>
              </w:rPr>
            </w:r>
            <w:r w:rsidR="00874A3B" w:rsidRPr="00874A3B">
              <w:rPr>
                <w:rFonts w:ascii="Century Schoolbook" w:hAnsi="Century Schoolbook"/>
                <w:noProof/>
                <w:webHidden/>
              </w:rPr>
              <w:fldChar w:fldCharType="separate"/>
            </w:r>
            <w:r w:rsidR="009076EC">
              <w:rPr>
                <w:rFonts w:ascii="Century Schoolbook" w:hAnsi="Century Schoolbook"/>
                <w:noProof/>
                <w:webHidden/>
              </w:rPr>
              <w:t>38</w:t>
            </w:r>
            <w:r w:rsidR="00874A3B" w:rsidRPr="00874A3B">
              <w:rPr>
                <w:rFonts w:ascii="Century Schoolbook" w:hAnsi="Century Schoolbook"/>
                <w:noProof/>
                <w:webHidden/>
              </w:rPr>
              <w:fldChar w:fldCharType="end"/>
            </w:r>
          </w:hyperlink>
        </w:p>
        <w:p w14:paraId="1780DD15" w14:textId="5A1E786F" w:rsidR="00951EDB" w:rsidRDefault="00951EDB">
          <w:r w:rsidRPr="00874A3B">
            <w:rPr>
              <w:rFonts w:ascii="Century Schoolbook" w:hAnsi="Century Schoolbook"/>
              <w:b/>
              <w:bCs/>
              <w:noProof/>
            </w:rPr>
            <w:fldChar w:fldCharType="end"/>
          </w:r>
        </w:p>
      </w:sdtContent>
    </w:sdt>
    <w:p w14:paraId="170F0CA9" w14:textId="404AD75D" w:rsidR="00134752" w:rsidRPr="0036636C" w:rsidRDefault="00134752" w:rsidP="00DE4699">
      <w:pPr>
        <w:pStyle w:val="Heading0"/>
      </w:pPr>
      <w:bookmarkStart w:id="7" w:name="_Toc53773193"/>
      <w:bookmarkStart w:id="8" w:name="_Toc202911619"/>
      <w:r w:rsidRPr="0036636C">
        <w:lastRenderedPageBreak/>
        <w:t>TABLE OF AUTHORITIES</w:t>
      </w:r>
      <w:bookmarkEnd w:id="7"/>
      <w:bookmarkEnd w:id="8"/>
    </w:p>
    <w:p w14:paraId="590DFA2A" w14:textId="1370C7B5" w:rsidR="00424AB2" w:rsidRDefault="003731E0" w:rsidP="003731E0">
      <w:pPr>
        <w:spacing w:line="480" w:lineRule="auto"/>
        <w:jc w:val="right"/>
        <w:rPr>
          <w:rFonts w:ascii="Century Schoolbook" w:hAnsi="Century Schoolbook"/>
          <w:szCs w:val="28"/>
        </w:rPr>
      </w:pPr>
      <w:r>
        <w:rPr>
          <w:rFonts w:ascii="Century Schoolbook" w:hAnsi="Century Schoolbook"/>
          <w:szCs w:val="28"/>
        </w:rPr>
        <w:t>Page(s)</w:t>
      </w:r>
    </w:p>
    <w:p w14:paraId="0353D3F0" w14:textId="77777777" w:rsidR="003731E0" w:rsidRPr="0036636C" w:rsidRDefault="003731E0" w:rsidP="003731E0">
      <w:pPr>
        <w:spacing w:line="480" w:lineRule="auto"/>
        <w:rPr>
          <w:rFonts w:ascii="Century Schoolbook" w:hAnsi="Century Schoolbook"/>
          <w:szCs w:val="28"/>
        </w:rPr>
      </w:pPr>
    </w:p>
    <w:p w14:paraId="4DC4F3D0" w14:textId="6486737D" w:rsidR="00002ECD" w:rsidRPr="0036636C" w:rsidRDefault="00002ECD" w:rsidP="00DE4699">
      <w:pPr>
        <w:pStyle w:val="Heading0"/>
      </w:pPr>
      <w:bookmarkStart w:id="9" w:name="_Toc202911620"/>
      <w:bookmarkStart w:id="10" w:name="_Toc53773207"/>
      <w:r w:rsidRPr="0036636C">
        <w:lastRenderedPageBreak/>
        <w:t>INTEREST OF AMICI</w:t>
      </w:r>
      <w:r w:rsidR="00F4317E" w:rsidRPr="0036636C">
        <w:rPr>
          <w:rStyle w:val="FootnoteReference"/>
        </w:rPr>
        <w:footnoteReference w:id="1"/>
      </w:r>
      <w:bookmarkEnd w:id="9"/>
    </w:p>
    <w:p w14:paraId="7F91498F" w14:textId="25BA8A9F" w:rsidR="00D6018C" w:rsidRPr="0036636C" w:rsidRDefault="00D6018C" w:rsidP="00604FDD">
      <w:pPr>
        <w:pStyle w:val="Body"/>
        <w:rPr>
          <w:rFonts w:eastAsia="Calibri"/>
        </w:rPr>
      </w:pPr>
      <w:r w:rsidRPr="0036636C">
        <w:rPr>
          <w:rFonts w:eastAsia="Calibri"/>
        </w:rPr>
        <w:t xml:space="preserve">Amici curiae are law professors who teach and write about </w:t>
      </w:r>
      <w:r w:rsidR="0035754E">
        <w:rPr>
          <w:rFonts w:eastAsia="Calibri"/>
        </w:rPr>
        <w:t xml:space="preserve">contracts, legislation, </w:t>
      </w:r>
      <w:r w:rsidR="00832D9A">
        <w:rPr>
          <w:rFonts w:eastAsia="Calibri"/>
        </w:rPr>
        <w:t xml:space="preserve">the Administrative Procedure Act (APA), </w:t>
      </w:r>
      <w:r w:rsidR="0035754E">
        <w:rPr>
          <w:rFonts w:eastAsia="Calibri"/>
        </w:rPr>
        <w:t xml:space="preserve">constitutional law, </w:t>
      </w:r>
      <w:r w:rsidR="00593E97">
        <w:rPr>
          <w:rFonts w:eastAsia="Calibri"/>
        </w:rPr>
        <w:t xml:space="preserve">immigration law, </w:t>
      </w:r>
      <w:r w:rsidR="00217C08">
        <w:rPr>
          <w:rFonts w:eastAsia="Calibri"/>
        </w:rPr>
        <w:t xml:space="preserve">civil procedure, </w:t>
      </w:r>
      <w:r w:rsidR="0035754E">
        <w:rPr>
          <w:rFonts w:eastAsia="Calibri"/>
        </w:rPr>
        <w:t>and federal courts</w:t>
      </w:r>
      <w:r w:rsidRPr="0036636C">
        <w:rPr>
          <w:rFonts w:eastAsia="Calibri"/>
        </w:rPr>
        <w:t>.</w:t>
      </w:r>
      <w:r w:rsidR="000A2491">
        <w:rPr>
          <w:rFonts w:eastAsia="Calibri"/>
        </w:rPr>
        <w:t xml:space="preserve"> </w:t>
      </w:r>
      <w:r w:rsidRPr="0036636C">
        <w:rPr>
          <w:rFonts w:eastAsia="Calibri"/>
        </w:rPr>
        <w:t>Amici submit this brief in the hope of being of assistance to this Court in its deliberation.</w:t>
      </w:r>
      <w:r w:rsidR="000A2491">
        <w:rPr>
          <w:rFonts w:eastAsia="Calibri"/>
        </w:rPr>
        <w:t xml:space="preserve"> </w:t>
      </w:r>
      <w:r w:rsidRPr="0036636C">
        <w:rPr>
          <w:rFonts w:eastAsia="Calibri"/>
        </w:rPr>
        <w:t xml:space="preserve">The following </w:t>
      </w:r>
      <w:r w:rsidR="00832D9A">
        <w:rPr>
          <w:rFonts w:eastAsia="Calibri"/>
        </w:rPr>
        <w:t>A</w:t>
      </w:r>
      <w:r w:rsidRPr="0036636C">
        <w:rPr>
          <w:rFonts w:eastAsia="Calibri"/>
        </w:rPr>
        <w:t xml:space="preserve">mici </w:t>
      </w:r>
      <w:r w:rsidR="00832D9A">
        <w:rPr>
          <w:rFonts w:eastAsia="Calibri"/>
        </w:rPr>
        <w:t>C</w:t>
      </w:r>
      <w:r w:rsidRPr="0036636C">
        <w:rPr>
          <w:rFonts w:eastAsia="Calibri"/>
        </w:rPr>
        <w:t>uriae respectfully request leave to file the accompanying brief.</w:t>
      </w:r>
      <w:r w:rsidRPr="0036636C">
        <w:rPr>
          <w:rFonts w:eastAsia="Calibri"/>
          <w:vertAlign w:val="superscript"/>
        </w:rPr>
        <w:footnoteReference w:id="2"/>
      </w:r>
    </w:p>
    <w:p w14:paraId="080D1ED1" w14:textId="4A74EC51" w:rsidR="00BE4296" w:rsidRPr="00BE4296" w:rsidRDefault="00BE4296" w:rsidP="00604FDD">
      <w:pPr>
        <w:pStyle w:val="Body"/>
        <w:rPr>
          <w:rFonts w:eastAsia="Calibri"/>
        </w:rPr>
      </w:pPr>
      <w:r>
        <w:rPr>
          <w:rFonts w:eastAsia="Calibri"/>
          <w:i/>
          <w:iCs/>
        </w:rPr>
        <w:t>Jonathan Abel</w:t>
      </w:r>
      <w:r>
        <w:rPr>
          <w:rFonts w:eastAsia="Calibri"/>
        </w:rPr>
        <w:t xml:space="preserve">, </w:t>
      </w:r>
      <w:r w:rsidRPr="00BE4296">
        <w:rPr>
          <w:rFonts w:eastAsia="Calibri"/>
        </w:rPr>
        <w:t>Professor of Law and Harry &amp; Lillian Hastings Research Chair</w:t>
      </w:r>
      <w:r>
        <w:rPr>
          <w:rFonts w:eastAsia="Calibri"/>
        </w:rPr>
        <w:t xml:space="preserve"> at University of California College of the Law San Francisco.</w:t>
      </w:r>
    </w:p>
    <w:p w14:paraId="51361D5A" w14:textId="30DC21E5" w:rsidR="00AD0A85" w:rsidRDefault="00AD0A85" w:rsidP="00604FDD">
      <w:pPr>
        <w:pStyle w:val="Body"/>
        <w:rPr>
          <w:rFonts w:eastAsia="Calibri"/>
        </w:rPr>
      </w:pPr>
      <w:r>
        <w:rPr>
          <w:rFonts w:eastAsia="Calibri"/>
          <w:i/>
          <w:iCs/>
        </w:rPr>
        <w:t>Richard A. Boswell</w:t>
      </w:r>
      <w:r>
        <w:rPr>
          <w:rFonts w:eastAsia="Calibri"/>
        </w:rPr>
        <w:t>, Professor of Law at University of California College of the Law San Francisco</w:t>
      </w:r>
      <w:r w:rsidR="00593E97">
        <w:rPr>
          <w:rFonts w:eastAsia="Calibri"/>
        </w:rPr>
        <w:t>.</w:t>
      </w:r>
    </w:p>
    <w:p w14:paraId="30985480" w14:textId="1FB3F1D0" w:rsidR="0054618F" w:rsidRPr="00AD0A85" w:rsidRDefault="0054618F" w:rsidP="00604FDD">
      <w:pPr>
        <w:pStyle w:val="Body"/>
        <w:rPr>
          <w:rFonts w:eastAsia="Calibri"/>
        </w:rPr>
      </w:pPr>
      <w:r w:rsidRPr="0054618F">
        <w:rPr>
          <w:rFonts w:eastAsia="Calibri"/>
          <w:i/>
          <w:iCs/>
        </w:rPr>
        <w:t>Abner Greene</w:t>
      </w:r>
      <w:r>
        <w:rPr>
          <w:rFonts w:eastAsia="Calibri"/>
        </w:rPr>
        <w:t xml:space="preserve">, </w:t>
      </w:r>
      <w:r w:rsidRPr="0054618F">
        <w:rPr>
          <w:rFonts w:eastAsia="Calibri"/>
        </w:rPr>
        <w:t>Leonard F. Manning Professor of Law at Fordham Law School</w:t>
      </w:r>
      <w:r>
        <w:rPr>
          <w:rFonts w:eastAsia="Calibri"/>
        </w:rPr>
        <w:t>.</w:t>
      </w:r>
    </w:p>
    <w:p w14:paraId="03BFFFF8" w14:textId="03C09C80" w:rsidR="00D6018C" w:rsidRPr="0036636C" w:rsidRDefault="00424AB2" w:rsidP="00604FDD">
      <w:pPr>
        <w:pStyle w:val="Body"/>
        <w:rPr>
          <w:rFonts w:eastAsia="Calibri"/>
        </w:rPr>
      </w:pPr>
      <w:r w:rsidRPr="0036636C">
        <w:rPr>
          <w:rFonts w:eastAsia="Calibri"/>
          <w:i/>
          <w:iCs/>
        </w:rPr>
        <w:lastRenderedPageBreak/>
        <w:t>Ethan J. L</w:t>
      </w:r>
      <w:r w:rsidR="00832D9A">
        <w:rPr>
          <w:rFonts w:eastAsia="Calibri"/>
          <w:i/>
          <w:iCs/>
        </w:rPr>
        <w:t>ei</w:t>
      </w:r>
      <w:r w:rsidRPr="0036636C">
        <w:rPr>
          <w:rFonts w:eastAsia="Calibri"/>
          <w:i/>
          <w:iCs/>
        </w:rPr>
        <w:t>b,</w:t>
      </w:r>
      <w:r w:rsidR="00D6018C" w:rsidRPr="0036636C">
        <w:rPr>
          <w:rFonts w:eastAsia="Calibri"/>
        </w:rPr>
        <w:t xml:space="preserve"> </w:t>
      </w:r>
      <w:r w:rsidR="00593E97" w:rsidRPr="00593E97">
        <w:rPr>
          <w:rFonts w:eastAsia="Calibri"/>
        </w:rPr>
        <w:t xml:space="preserve">John D. Calamari Distinguished </w:t>
      </w:r>
      <w:r w:rsidR="00D6018C" w:rsidRPr="0036636C">
        <w:rPr>
          <w:rFonts w:eastAsia="Calibri"/>
        </w:rPr>
        <w:t xml:space="preserve">Professor of Law at </w:t>
      </w:r>
      <w:r w:rsidRPr="0036636C">
        <w:rPr>
          <w:rFonts w:eastAsia="Calibri"/>
        </w:rPr>
        <w:t>Fordham</w:t>
      </w:r>
      <w:r w:rsidR="00D6018C" w:rsidRPr="0036636C">
        <w:rPr>
          <w:rFonts w:eastAsia="Calibri"/>
        </w:rPr>
        <w:t xml:space="preserve"> Law</w:t>
      </w:r>
      <w:r w:rsidRPr="0036636C">
        <w:rPr>
          <w:rFonts w:eastAsia="Calibri"/>
        </w:rPr>
        <w:t xml:space="preserve"> School.</w:t>
      </w:r>
    </w:p>
    <w:p w14:paraId="735F558F" w14:textId="72841F16" w:rsidR="00E93A23" w:rsidRPr="00E93A23" w:rsidRDefault="00E93A23" w:rsidP="00E93A23">
      <w:pPr>
        <w:pStyle w:val="Body"/>
        <w:rPr>
          <w:rFonts w:eastAsia="Calibri"/>
        </w:rPr>
      </w:pPr>
      <w:r>
        <w:rPr>
          <w:rFonts w:eastAsia="Calibri"/>
          <w:i/>
          <w:iCs/>
        </w:rPr>
        <w:t>Rory K. Little</w:t>
      </w:r>
      <w:r>
        <w:rPr>
          <w:rFonts w:eastAsia="Calibri"/>
        </w:rPr>
        <w:t xml:space="preserve">, </w:t>
      </w:r>
      <w:r w:rsidRPr="00E93A23">
        <w:rPr>
          <w:rFonts w:eastAsia="Calibri"/>
        </w:rPr>
        <w:t>Cotchett Chair Emeritus</w:t>
      </w:r>
      <w:r>
        <w:rPr>
          <w:rFonts w:eastAsia="Calibri"/>
        </w:rPr>
        <w:t xml:space="preserve"> &amp; </w:t>
      </w:r>
      <w:r w:rsidRPr="00E93A23">
        <w:rPr>
          <w:rFonts w:eastAsia="Calibri"/>
        </w:rPr>
        <w:t>Sullivan Professor of Law</w:t>
      </w:r>
      <w:r>
        <w:rPr>
          <w:rFonts w:eastAsia="Calibri"/>
        </w:rPr>
        <w:t xml:space="preserve"> at </w:t>
      </w:r>
      <w:r w:rsidRPr="00E93A23">
        <w:rPr>
          <w:rFonts w:eastAsia="Calibri"/>
        </w:rPr>
        <w:t>UC Law San Francisco</w:t>
      </w:r>
      <w:r>
        <w:rPr>
          <w:rFonts w:eastAsia="Calibri"/>
        </w:rPr>
        <w:t>.</w:t>
      </w:r>
    </w:p>
    <w:p w14:paraId="340B8C99" w14:textId="5DB58E1F" w:rsidR="00593E97" w:rsidRDefault="00593E97" w:rsidP="00593E97">
      <w:pPr>
        <w:pStyle w:val="Body"/>
        <w:rPr>
          <w:rFonts w:eastAsia="Calibri"/>
        </w:rPr>
      </w:pPr>
      <w:r w:rsidRPr="00593E97">
        <w:rPr>
          <w:rFonts w:eastAsia="Calibri"/>
          <w:i/>
          <w:iCs/>
        </w:rPr>
        <w:t>Elora Mukherjee</w:t>
      </w:r>
      <w:r>
        <w:rPr>
          <w:rFonts w:eastAsia="Calibri"/>
        </w:rPr>
        <w:t xml:space="preserve">, </w:t>
      </w:r>
      <w:r w:rsidRPr="00593E97">
        <w:rPr>
          <w:rFonts w:eastAsia="Calibri"/>
        </w:rPr>
        <w:t>Jerome L. Greene Clinical Professor of Law at Columbia Law School</w:t>
      </w:r>
      <w:r>
        <w:rPr>
          <w:rFonts w:eastAsia="Calibri"/>
        </w:rPr>
        <w:t>.</w:t>
      </w:r>
    </w:p>
    <w:p w14:paraId="31AF00E5" w14:textId="7F6CB387" w:rsidR="000630E1" w:rsidRDefault="000630E1" w:rsidP="00593E97">
      <w:pPr>
        <w:pStyle w:val="Body"/>
        <w:rPr>
          <w:rFonts w:eastAsia="Calibri"/>
        </w:rPr>
      </w:pPr>
      <w:r>
        <w:rPr>
          <w:rFonts w:eastAsia="Calibri"/>
          <w:i/>
          <w:iCs/>
        </w:rPr>
        <w:t>Luke Norris</w:t>
      </w:r>
      <w:r>
        <w:rPr>
          <w:rFonts w:eastAsia="Calibri"/>
        </w:rPr>
        <w:t xml:space="preserve">, </w:t>
      </w:r>
      <w:r w:rsidRPr="000630E1">
        <w:rPr>
          <w:rFonts w:eastAsia="Calibri"/>
        </w:rPr>
        <w:t>Professor of Law at University of Richmond School of Law.</w:t>
      </w:r>
    </w:p>
    <w:p w14:paraId="3F673141" w14:textId="2375B295" w:rsidR="000630E1" w:rsidRDefault="000630E1" w:rsidP="00593E97">
      <w:pPr>
        <w:pStyle w:val="Body"/>
        <w:rPr>
          <w:rFonts w:eastAsia="Calibri"/>
        </w:rPr>
      </w:pPr>
      <w:r>
        <w:rPr>
          <w:rFonts w:eastAsia="Calibri"/>
          <w:i/>
          <w:iCs/>
        </w:rPr>
        <w:t>Adam Orford</w:t>
      </w:r>
      <w:r>
        <w:rPr>
          <w:rFonts w:eastAsia="Calibri"/>
        </w:rPr>
        <w:t xml:space="preserve">, </w:t>
      </w:r>
      <w:r w:rsidRPr="000630E1">
        <w:rPr>
          <w:rFonts w:eastAsia="Calibri"/>
        </w:rPr>
        <w:t>Associate Professor at Fordham Law</w:t>
      </w:r>
      <w:r>
        <w:rPr>
          <w:rFonts w:eastAsia="Calibri"/>
        </w:rPr>
        <w:t xml:space="preserve"> School.</w:t>
      </w:r>
    </w:p>
    <w:p w14:paraId="51A981DB" w14:textId="0E166027" w:rsidR="00E93A23" w:rsidRDefault="00E93A23" w:rsidP="00E93A23">
      <w:pPr>
        <w:pStyle w:val="Body"/>
        <w:rPr>
          <w:rFonts w:eastAsia="Calibri"/>
        </w:rPr>
      </w:pPr>
      <w:r w:rsidRPr="00E93A23">
        <w:rPr>
          <w:rFonts w:eastAsia="Calibri"/>
          <w:i/>
          <w:iCs/>
        </w:rPr>
        <w:t>Daniel B. Rodriguez</w:t>
      </w:r>
      <w:r>
        <w:rPr>
          <w:rFonts w:eastAsia="Calibri"/>
        </w:rPr>
        <w:t xml:space="preserve">, </w:t>
      </w:r>
      <w:r w:rsidRPr="00E93A23">
        <w:rPr>
          <w:rFonts w:eastAsia="Calibri"/>
        </w:rPr>
        <w:t>Harold Washington Professor</w:t>
      </w:r>
      <w:r>
        <w:rPr>
          <w:rFonts w:eastAsia="Calibri"/>
        </w:rPr>
        <w:t xml:space="preserve"> at </w:t>
      </w:r>
      <w:r w:rsidRPr="00E93A23">
        <w:rPr>
          <w:rFonts w:eastAsia="Calibri"/>
        </w:rPr>
        <w:t>Northwestern Pritzker School of Law</w:t>
      </w:r>
      <w:r>
        <w:rPr>
          <w:rFonts w:eastAsia="Calibri"/>
        </w:rPr>
        <w:t>.</w:t>
      </w:r>
    </w:p>
    <w:p w14:paraId="17D5D38F" w14:textId="30D6BDB4" w:rsidR="00E93A23" w:rsidRPr="00E93A23" w:rsidRDefault="00E93A23" w:rsidP="00E93A23">
      <w:pPr>
        <w:pStyle w:val="Body"/>
        <w:rPr>
          <w:rFonts w:eastAsia="Calibri"/>
        </w:rPr>
      </w:pPr>
      <w:r>
        <w:rPr>
          <w:rFonts w:eastAsia="Calibri"/>
          <w:i/>
          <w:iCs/>
        </w:rPr>
        <w:t>Reuel Schiller</w:t>
      </w:r>
      <w:r>
        <w:rPr>
          <w:rFonts w:eastAsia="Calibri"/>
        </w:rPr>
        <w:t>, The Honorable Roger J. Traynor Chair and Professor of Law at University of California College of the Law San Francisco.</w:t>
      </w:r>
    </w:p>
    <w:p w14:paraId="0B735FF5" w14:textId="0C4A4215" w:rsidR="00E93A23" w:rsidRDefault="00E93A23" w:rsidP="00E93A23">
      <w:pPr>
        <w:pStyle w:val="Body"/>
        <w:rPr>
          <w:rFonts w:eastAsia="Calibri"/>
        </w:rPr>
      </w:pPr>
      <w:r>
        <w:rPr>
          <w:rFonts w:eastAsia="Calibri"/>
          <w:i/>
          <w:iCs/>
        </w:rPr>
        <w:t>Jodi Short</w:t>
      </w:r>
      <w:r>
        <w:rPr>
          <w:rFonts w:eastAsia="Calibri"/>
        </w:rPr>
        <w:t xml:space="preserve">, Mary Kay Kane Professor of Law at University of California College of the Law San Francisco. </w:t>
      </w:r>
    </w:p>
    <w:p w14:paraId="7500831F" w14:textId="59AF9814" w:rsidR="005872E3" w:rsidRPr="005872E3" w:rsidRDefault="005872E3" w:rsidP="005872E3">
      <w:pPr>
        <w:pStyle w:val="Body"/>
        <w:rPr>
          <w:rFonts w:eastAsia="Calibri"/>
          <w:i/>
          <w:iCs/>
        </w:rPr>
      </w:pPr>
      <w:r>
        <w:rPr>
          <w:rFonts w:eastAsia="Calibri"/>
          <w:i/>
          <w:iCs/>
        </w:rPr>
        <w:t xml:space="preserve">Jed </w:t>
      </w:r>
      <w:proofErr w:type="spellStart"/>
      <w:r>
        <w:rPr>
          <w:rFonts w:eastAsia="Calibri"/>
          <w:i/>
          <w:iCs/>
        </w:rPr>
        <w:t>Handelsman</w:t>
      </w:r>
      <w:proofErr w:type="spellEnd"/>
      <w:r>
        <w:rPr>
          <w:rFonts w:eastAsia="Calibri"/>
          <w:i/>
          <w:iCs/>
        </w:rPr>
        <w:t xml:space="preserve"> </w:t>
      </w:r>
      <w:proofErr w:type="spellStart"/>
      <w:r>
        <w:rPr>
          <w:rFonts w:eastAsia="Calibri"/>
          <w:i/>
          <w:iCs/>
        </w:rPr>
        <w:t>Shugerman</w:t>
      </w:r>
      <w:proofErr w:type="spellEnd"/>
      <w:r>
        <w:rPr>
          <w:rFonts w:eastAsia="Calibri"/>
          <w:i/>
          <w:iCs/>
        </w:rPr>
        <w:t xml:space="preserve">, </w:t>
      </w:r>
      <w:r w:rsidRPr="005872E3">
        <w:rPr>
          <w:rFonts w:eastAsia="Calibri"/>
        </w:rPr>
        <w:t xml:space="preserve">Professor </w:t>
      </w:r>
      <w:r>
        <w:rPr>
          <w:rFonts w:eastAsia="Calibri"/>
        </w:rPr>
        <w:t xml:space="preserve">of Law </w:t>
      </w:r>
      <w:r w:rsidRPr="005872E3">
        <w:rPr>
          <w:rFonts w:eastAsia="Calibri"/>
        </w:rPr>
        <w:t>and Harry Elwood Warren Scholar, Boston University School of Law</w:t>
      </w:r>
      <w:r>
        <w:rPr>
          <w:rFonts w:eastAsia="Calibri"/>
        </w:rPr>
        <w:t>.</w:t>
      </w:r>
    </w:p>
    <w:p w14:paraId="29D40D3D" w14:textId="470C9DC0" w:rsidR="005872E3" w:rsidRPr="005872E3" w:rsidRDefault="005872E3" w:rsidP="00E93A23">
      <w:pPr>
        <w:pStyle w:val="Body"/>
        <w:rPr>
          <w:rFonts w:eastAsia="Calibri"/>
        </w:rPr>
      </w:pPr>
    </w:p>
    <w:p w14:paraId="0720EF0B" w14:textId="31E3C955" w:rsidR="00424AB2" w:rsidRPr="008757EF" w:rsidRDefault="00424AB2" w:rsidP="008757EF">
      <w:pPr>
        <w:pStyle w:val="Body"/>
        <w:rPr>
          <w:rFonts w:eastAsia="Calibri"/>
        </w:rPr>
      </w:pPr>
      <w:r w:rsidRPr="0036636C">
        <w:rPr>
          <w:rFonts w:eastAsia="Calibri"/>
        </w:rPr>
        <w:lastRenderedPageBreak/>
        <w:t xml:space="preserve">Amici and their counsel express their gratitude to </w:t>
      </w:r>
      <w:r w:rsidR="00907A04">
        <w:rPr>
          <w:rFonts w:eastAsia="Calibri"/>
        </w:rPr>
        <w:t xml:space="preserve">Ami Santillan </w:t>
      </w:r>
      <w:r w:rsidRPr="0036636C">
        <w:rPr>
          <w:rFonts w:eastAsia="Calibri"/>
        </w:rPr>
        <w:t xml:space="preserve">for </w:t>
      </w:r>
      <w:r w:rsidR="0035754E">
        <w:rPr>
          <w:rFonts w:eastAsia="Calibri"/>
        </w:rPr>
        <w:t>her</w:t>
      </w:r>
      <w:r w:rsidRPr="0036636C">
        <w:rPr>
          <w:rFonts w:eastAsia="Calibri"/>
        </w:rPr>
        <w:t xml:space="preserve"> excellent research assistance.</w:t>
      </w:r>
    </w:p>
    <w:p w14:paraId="3D958574" w14:textId="51155BE3" w:rsidR="00424AB2" w:rsidRPr="00604FDD" w:rsidRDefault="00424AB2" w:rsidP="00DE4699">
      <w:pPr>
        <w:pStyle w:val="Heading0"/>
      </w:pPr>
      <w:bookmarkStart w:id="11" w:name="_Toc193995812"/>
      <w:bookmarkStart w:id="12" w:name="_Toc193995898"/>
      <w:bookmarkStart w:id="13" w:name="_Toc194676567"/>
      <w:bookmarkStart w:id="14" w:name="_Toc202911621"/>
      <w:r w:rsidRPr="00604FDD">
        <w:lastRenderedPageBreak/>
        <w:t>INTRODUCTION</w:t>
      </w:r>
      <w:bookmarkEnd w:id="11"/>
      <w:bookmarkEnd w:id="12"/>
      <w:bookmarkEnd w:id="13"/>
      <w:bookmarkEnd w:id="14"/>
    </w:p>
    <w:p w14:paraId="05D41C08" w14:textId="1F379242" w:rsidR="0049249A" w:rsidRDefault="007A5BDC" w:rsidP="00A7039F">
      <w:pPr>
        <w:pStyle w:val="Body"/>
      </w:pPr>
      <w:r>
        <w:t xml:space="preserve">The jurisdictional issue in this appeal concerns what should be a straightforward application of </w:t>
      </w:r>
      <w:r w:rsidRPr="007A5BDC">
        <w:rPr>
          <w:i/>
          <w:iCs/>
        </w:rPr>
        <w:t>Bowen v. Massachusetts</w:t>
      </w:r>
      <w:r w:rsidRPr="007A5BDC">
        <w:t>, 487 U.S. 879 (1988).</w:t>
      </w:r>
      <w:r>
        <w:t xml:space="preserve"> </w:t>
      </w:r>
      <w:r w:rsidR="00004B7F">
        <w:t>T</w:t>
      </w:r>
      <w:r>
        <w:t xml:space="preserve">hrough the Administrative Procedure Act (APA) and the Tucker Act, </w:t>
      </w:r>
      <w:r w:rsidR="00004B7F">
        <w:t xml:space="preserve">Congress </w:t>
      </w:r>
      <w:r>
        <w:t xml:space="preserve">has long delineated the boundary between district court jurisdiction for claims seeking equitable relief to enforce federal law and the Court of Federal Claims’ jurisdiction over monetary contract claims. </w:t>
      </w:r>
      <w:r w:rsidRPr="007A5BDC">
        <w:rPr>
          <w:i/>
          <w:iCs/>
        </w:rPr>
        <w:t>Bowen</w:t>
      </w:r>
      <w:r>
        <w:t xml:space="preserve"> </w:t>
      </w:r>
      <w:r w:rsidR="00004B7F">
        <w:t>held</w:t>
      </w:r>
      <w:r>
        <w:t xml:space="preserve"> that the APA’s waiver of sovereign immunity squarely applies</w:t>
      </w:r>
      <w:r w:rsidR="00715B46">
        <w:t>—</w:t>
      </w:r>
      <w:r>
        <w:t xml:space="preserve">and </w:t>
      </w:r>
      <w:r w:rsidR="006B0F42">
        <w:t xml:space="preserve">that </w:t>
      </w:r>
      <w:r>
        <w:t>district courts have jurisdiction</w:t>
      </w:r>
      <w:r w:rsidR="00715B46">
        <w:t>—</w:t>
      </w:r>
      <w:r>
        <w:t>when plaintiffs challenge agency action and seek prospective compliance with federal law.</w:t>
      </w:r>
    </w:p>
    <w:p w14:paraId="736C1FFB" w14:textId="1E72566C" w:rsidR="007A5BDC" w:rsidRDefault="00EA5731" w:rsidP="00EA5731">
      <w:pPr>
        <w:pStyle w:val="Body"/>
      </w:pPr>
      <w:r w:rsidRPr="00EA5731">
        <w:t xml:space="preserve">In the nearly forty years since </w:t>
      </w:r>
      <w:r w:rsidRPr="00EA5731">
        <w:rPr>
          <w:i/>
          <w:iCs/>
        </w:rPr>
        <w:t>Bowen</w:t>
      </w:r>
      <w:r w:rsidRPr="00EA5731">
        <w:t xml:space="preserve"> was decided, Congress has revisited the Tucker Act multiple times without ever casting doubt on </w:t>
      </w:r>
      <w:r w:rsidRPr="00EA5731">
        <w:rPr>
          <w:i/>
          <w:iCs/>
        </w:rPr>
        <w:t>Bowen</w:t>
      </w:r>
      <w:r w:rsidRPr="00EA5731">
        <w:t xml:space="preserve">’s holding. </w:t>
      </w:r>
      <w:r w:rsidRPr="00EA5731">
        <w:rPr>
          <w:i/>
          <w:iCs/>
        </w:rPr>
        <w:t>Bowen</w:t>
      </w:r>
      <w:r w:rsidRPr="00EA5731">
        <w:t xml:space="preserve"> is entitled to super-strong statutory stare decisis effect.</w:t>
      </w:r>
    </w:p>
    <w:p w14:paraId="35D894B3" w14:textId="2116051A" w:rsidR="00743137" w:rsidRDefault="0032039D" w:rsidP="0032039D">
      <w:pPr>
        <w:pStyle w:val="Body"/>
      </w:pPr>
      <w:r w:rsidRPr="0032039D">
        <w:t xml:space="preserve">In a bid to unsettle </w:t>
      </w:r>
      <w:r w:rsidRPr="0032039D">
        <w:rPr>
          <w:i/>
          <w:iCs/>
        </w:rPr>
        <w:t>Bowen</w:t>
      </w:r>
      <w:r w:rsidRPr="0032039D">
        <w:t xml:space="preserve">, the Government </w:t>
      </w:r>
      <w:r w:rsidR="00F111B5">
        <w:t>relies on</w:t>
      </w:r>
      <w:r w:rsidRPr="0032039D">
        <w:t xml:space="preserve"> </w:t>
      </w:r>
      <w:r w:rsidRPr="0032039D">
        <w:rPr>
          <w:i/>
          <w:iCs/>
        </w:rPr>
        <w:t>Department of Education v. California</w:t>
      </w:r>
      <w:r w:rsidRPr="0032039D">
        <w:t>, 145 S. Ct. 966 (2025) (per curiam)</w:t>
      </w:r>
      <w:r w:rsidR="00EA3C3E">
        <w:t xml:space="preserve">, </w:t>
      </w:r>
      <w:r w:rsidRPr="0032039D">
        <w:t>a</w:t>
      </w:r>
      <w:r>
        <w:t xml:space="preserve"> nonprecedential</w:t>
      </w:r>
      <w:r w:rsidRPr="0032039D">
        <w:t xml:space="preserve"> emergency stay order that </w:t>
      </w:r>
      <w:r>
        <w:t>rested</w:t>
      </w:r>
      <w:r w:rsidRPr="0032039D">
        <w:t xml:space="preserve"> on narrow, fact-specific grounds wholly absent in this case.</w:t>
      </w:r>
      <w:r>
        <w:t xml:space="preserve"> </w:t>
      </w:r>
      <w:r w:rsidR="007A5BDC">
        <w:t xml:space="preserve">That order did not—and </w:t>
      </w:r>
      <w:r w:rsidR="007A5BDC">
        <w:lastRenderedPageBreak/>
        <w:t xml:space="preserve">could not—displace </w:t>
      </w:r>
      <w:r w:rsidR="0049249A" w:rsidRPr="00592AC3">
        <w:rPr>
          <w:i/>
        </w:rPr>
        <w:t>Bowen</w:t>
      </w:r>
      <w:r w:rsidR="0049249A">
        <w:t xml:space="preserve"> nor </w:t>
      </w:r>
      <w:r w:rsidR="007A5BDC">
        <w:t xml:space="preserve">diminish the special force that stare decisis carries in matters of statutory interpretation. </w:t>
      </w:r>
    </w:p>
    <w:p w14:paraId="08ED9672" w14:textId="6B0B10A8" w:rsidR="00981741" w:rsidRPr="0036636C" w:rsidRDefault="002F0408" w:rsidP="0032039D">
      <w:pPr>
        <w:pStyle w:val="Body"/>
      </w:pPr>
      <w:r>
        <w:t>T</w:t>
      </w:r>
      <w:r w:rsidR="007A5BDC">
        <w:t xml:space="preserve">his Court should honor </w:t>
      </w:r>
      <w:r w:rsidR="007A5BDC" w:rsidRPr="002F0408">
        <w:rPr>
          <w:i/>
          <w:iCs/>
        </w:rPr>
        <w:t>Bowen</w:t>
      </w:r>
      <w:r w:rsidR="007A5BDC">
        <w:t>’s enduring command</w:t>
      </w:r>
      <w:r w:rsidR="00D26679">
        <w:t xml:space="preserve"> and hold that</w:t>
      </w:r>
      <w:r w:rsidR="007A5BDC">
        <w:t xml:space="preserve"> the APA </w:t>
      </w:r>
      <w:r w:rsidR="006F6F4D">
        <w:t>confirms the district court’s</w:t>
      </w:r>
      <w:r w:rsidR="007A5BDC">
        <w:t xml:space="preserve"> jurisdiction here</w:t>
      </w:r>
      <w:r w:rsidR="006F6F4D">
        <w:t>, which was not ousted by the Tucker Act</w:t>
      </w:r>
      <w:r w:rsidR="00D26679">
        <w:t>.</w:t>
      </w:r>
    </w:p>
    <w:p w14:paraId="17B26FE6" w14:textId="6C6D41F8" w:rsidR="00D32653" w:rsidRPr="0036636C" w:rsidRDefault="00233CED" w:rsidP="00D26679">
      <w:pPr>
        <w:pStyle w:val="Heading0"/>
        <w:keepNext/>
        <w:pageBreakBefore w:val="0"/>
      </w:pPr>
      <w:bookmarkStart w:id="15" w:name="_Toc193995813"/>
      <w:bookmarkStart w:id="16" w:name="_Toc193995899"/>
      <w:bookmarkStart w:id="17" w:name="_Toc194676568"/>
      <w:bookmarkStart w:id="18" w:name="_Toc202911622"/>
      <w:r w:rsidRPr="0036636C">
        <w:t>ARGUMENT</w:t>
      </w:r>
      <w:bookmarkEnd w:id="15"/>
      <w:bookmarkEnd w:id="16"/>
      <w:bookmarkEnd w:id="17"/>
      <w:bookmarkEnd w:id="18"/>
    </w:p>
    <w:p w14:paraId="0A221EF3" w14:textId="2AC5AC66" w:rsidR="00D060B3" w:rsidRDefault="0072484D" w:rsidP="00073D8B">
      <w:pPr>
        <w:pStyle w:val="Heading1"/>
      </w:pPr>
      <w:bookmarkStart w:id="19" w:name="_Toc202878662"/>
      <w:bookmarkStart w:id="20" w:name="_Toc202911623"/>
      <w:r w:rsidRPr="00047EDB">
        <w:rPr>
          <w:i/>
          <w:iCs/>
        </w:rPr>
        <w:t>Bowen</w:t>
      </w:r>
      <w:r>
        <w:t xml:space="preserve"> is super-strong statutory stare decisis on the APA and the Tucker Act—and thus confirms the district court’s jurisdiction.</w:t>
      </w:r>
      <w:bookmarkEnd w:id="19"/>
      <w:bookmarkEnd w:id="20"/>
    </w:p>
    <w:p w14:paraId="3977FC97" w14:textId="5EF626B7" w:rsidR="00D060B3" w:rsidRDefault="0072484D" w:rsidP="00FF5D76">
      <w:pPr>
        <w:pStyle w:val="Body"/>
      </w:pPr>
      <w:r>
        <w:t xml:space="preserve">The Supreme Court has recognized that </w:t>
      </w:r>
      <w:r w:rsidRPr="00FF5D76">
        <w:t>Congress—not the courts—</w:t>
      </w:r>
      <w:r>
        <w:t>gets</w:t>
      </w:r>
      <w:r w:rsidRPr="00FF5D76">
        <w:t xml:space="preserve"> the last word when it wants to </w:t>
      </w:r>
      <w:r>
        <w:t>alter</w:t>
      </w:r>
      <w:r w:rsidRPr="00FF5D76">
        <w:t xml:space="preserve"> the jurisdictional balance </w:t>
      </w:r>
      <w:r>
        <w:t>between</w:t>
      </w:r>
      <w:r w:rsidRPr="00FF5D76">
        <w:t xml:space="preserve"> the Tucker Act</w:t>
      </w:r>
      <w:r>
        <w:t>, 28 U.S.C. § 1491,</w:t>
      </w:r>
      <w:r w:rsidRPr="00FF5D76">
        <w:t xml:space="preserve"> and the APA</w:t>
      </w:r>
      <w:r>
        <w:t>, 5 U.S.C. §§ 702, 704, 706</w:t>
      </w:r>
      <w:r w:rsidRPr="00FF5D76">
        <w:t>.</w:t>
      </w:r>
      <w:r w:rsidR="000A2491">
        <w:t xml:space="preserve"> </w:t>
      </w:r>
      <w:r>
        <w:t xml:space="preserve">Since the Court’s 1988 decision in </w:t>
      </w:r>
      <w:r w:rsidRPr="00FE7212">
        <w:rPr>
          <w:i/>
          <w:iCs/>
        </w:rPr>
        <w:t>Bowe</w:t>
      </w:r>
      <w:r w:rsidR="005F3AAF">
        <w:rPr>
          <w:i/>
          <w:iCs/>
        </w:rPr>
        <w:t>n</w:t>
      </w:r>
      <w:r>
        <w:t>, 487 U.S. 879, that balance has been clear.</w:t>
      </w:r>
      <w:r w:rsidR="000A2491">
        <w:t xml:space="preserve"> </w:t>
      </w:r>
      <w:r>
        <w:t>And no briefed and argued merits decision by the Court has overruled it.</w:t>
      </w:r>
      <w:r w:rsidR="000A2491">
        <w:t xml:space="preserve"> </w:t>
      </w:r>
      <w:r w:rsidR="00FA0AB8">
        <w:t>This Court thus must follow it.</w:t>
      </w:r>
      <w:r w:rsidR="000A2491">
        <w:t xml:space="preserve"> </w:t>
      </w:r>
      <w:r>
        <w:t xml:space="preserve">Since statutory decisions are afforded “super-strong” stare decisis, </w:t>
      </w:r>
      <w:r w:rsidR="00FA0AB8">
        <w:t xml:space="preserve">courts must </w:t>
      </w:r>
      <w:r>
        <w:t xml:space="preserve">follow Congress’s allocation of jurisdictional authority as between the regional </w:t>
      </w:r>
      <w:r w:rsidR="00FA0AB8">
        <w:t>federal courts</w:t>
      </w:r>
      <w:r>
        <w:t xml:space="preserve"> and the Court of Federal Claims</w:t>
      </w:r>
      <w:r w:rsidR="00FA0AB8">
        <w:t xml:space="preserve">—an allocation </w:t>
      </w:r>
      <w:r w:rsidR="00FA0AB8" w:rsidRPr="00FA0AB8">
        <w:rPr>
          <w:i/>
          <w:iCs/>
        </w:rPr>
        <w:t>Bowen</w:t>
      </w:r>
      <w:r>
        <w:t xml:space="preserve"> already affirmed.</w:t>
      </w:r>
    </w:p>
    <w:p w14:paraId="2598628B" w14:textId="45CF2333" w:rsidR="007B0ADD" w:rsidRDefault="0072484D" w:rsidP="007B0ADD">
      <w:pPr>
        <w:pStyle w:val="Heading2"/>
      </w:pPr>
      <w:bookmarkStart w:id="21" w:name="_Toc202878663"/>
      <w:bookmarkStart w:id="22" w:name="_Toc202911624"/>
      <w:r w:rsidRPr="00743780">
        <w:rPr>
          <w:i/>
          <w:iCs/>
        </w:rPr>
        <w:lastRenderedPageBreak/>
        <w:t xml:space="preserve">Bowen </w:t>
      </w:r>
      <w:r>
        <w:t>construed Congress’s allocation of jurisdictional authority as between the district courts in the APA and the Court of Federal Claims in the Tucker Act.</w:t>
      </w:r>
      <w:bookmarkEnd w:id="21"/>
      <w:bookmarkEnd w:id="22"/>
    </w:p>
    <w:p w14:paraId="6D70A66F" w14:textId="7A3251DD" w:rsidR="0072484D" w:rsidRDefault="00250435" w:rsidP="00250435">
      <w:pPr>
        <w:pStyle w:val="Body"/>
      </w:pPr>
      <w:r>
        <w:t>Most significantly</w:t>
      </w:r>
      <w:r w:rsidR="0072484D">
        <w:t xml:space="preserve">, </w:t>
      </w:r>
      <w:r w:rsidR="0072484D">
        <w:rPr>
          <w:i/>
          <w:iCs/>
        </w:rPr>
        <w:t>Bowen</w:t>
      </w:r>
      <w:r w:rsidR="0072484D">
        <w:t xml:space="preserve"> </w:t>
      </w:r>
      <w:r w:rsidR="009B42C0">
        <w:t xml:space="preserve">explained that APA § 702 (as amended in 1976) </w:t>
      </w:r>
      <w:r w:rsidR="0072484D">
        <w:t>“was intended to broaden the avenues for judicial review of agency action by eliminating the defense of sovereign immunity.”</w:t>
      </w:r>
      <w:r w:rsidR="000A2491">
        <w:t xml:space="preserve"> </w:t>
      </w:r>
      <w:r w:rsidR="0072484D">
        <w:rPr>
          <w:i/>
          <w:iCs/>
        </w:rPr>
        <w:t xml:space="preserve">Id. </w:t>
      </w:r>
      <w:r w:rsidR="0072484D">
        <w:t>at 891</w:t>
      </w:r>
      <w:r w:rsidR="009B42C0">
        <w:t>–</w:t>
      </w:r>
      <w:r w:rsidR="0072484D">
        <w:t>92.</w:t>
      </w:r>
      <w:r w:rsidR="000A2491">
        <w:t xml:space="preserve"> </w:t>
      </w:r>
      <w:r w:rsidR="0072484D">
        <w:t>Section 702 reads as follows: “An action in a court of the United States seeking relief other than money damages and stating a claim that an agency or an officer or employee thereof acted or failed to act in an official capacity or under color of legal authority shall not be dismissed nor relief therein be denied on the ground that it is against the United States or that the United States is an indispensable party.”</w:t>
      </w:r>
      <w:r w:rsidR="000A2491">
        <w:t xml:space="preserve"> </w:t>
      </w:r>
      <w:r w:rsidR="0072484D">
        <w:t>5 U.S.C. §</w:t>
      </w:r>
      <w:r w:rsidR="009B42C0">
        <w:t> </w:t>
      </w:r>
      <w:r w:rsidR="0072484D">
        <w:t>702.</w:t>
      </w:r>
      <w:r w:rsidR="000A2491">
        <w:t xml:space="preserve"> </w:t>
      </w:r>
      <w:r w:rsidR="0072484D">
        <w:t xml:space="preserve">As </w:t>
      </w:r>
      <w:r w:rsidR="0072484D">
        <w:rPr>
          <w:i/>
          <w:iCs/>
        </w:rPr>
        <w:t xml:space="preserve">Bowen </w:t>
      </w:r>
      <w:r w:rsidR="0072484D">
        <w:t xml:space="preserve">held, </w:t>
      </w:r>
      <w:r w:rsidR="00317B26">
        <w:t xml:space="preserve">this plain language </w:t>
      </w:r>
      <w:r>
        <w:t>confirms</w:t>
      </w:r>
      <w:r w:rsidR="00317B26">
        <w:t xml:space="preserve"> that </w:t>
      </w:r>
      <w:r w:rsidR="0072484D">
        <w:t>when</w:t>
      </w:r>
      <w:r w:rsidR="0072484D" w:rsidRPr="00E45B46">
        <w:t xml:space="preserve"> </w:t>
      </w:r>
      <w:r w:rsidR="00317B26">
        <w:t xml:space="preserve">a </w:t>
      </w:r>
      <w:r w:rsidR="0072484D" w:rsidRPr="00E45B46">
        <w:t xml:space="preserve">complaint </w:t>
      </w:r>
      <w:r w:rsidR="0072484D">
        <w:t>seek</w:t>
      </w:r>
      <w:r w:rsidR="00317B26">
        <w:t>s</w:t>
      </w:r>
      <w:r w:rsidR="00317B26" w:rsidRPr="00E45B46">
        <w:t xml:space="preserve"> </w:t>
      </w:r>
      <w:r w:rsidR="0072484D" w:rsidRPr="00E45B46">
        <w:t xml:space="preserve">declaratory </w:t>
      </w:r>
      <w:r w:rsidR="00317B26">
        <w:t>or</w:t>
      </w:r>
      <w:r w:rsidR="00317B26" w:rsidRPr="00E45B46">
        <w:t xml:space="preserve"> </w:t>
      </w:r>
      <w:r w:rsidR="0072484D" w:rsidRPr="00E45B46">
        <w:t xml:space="preserve">injunctive relief, </w:t>
      </w:r>
      <w:r w:rsidR="00317B26">
        <w:t>it is “</w:t>
      </w:r>
      <w:r w:rsidR="0072484D" w:rsidRPr="00E45B46">
        <w:t xml:space="preserve">certainly not </w:t>
      </w:r>
      <w:r w:rsidR="00317B26">
        <w:t xml:space="preserve">[an] </w:t>
      </w:r>
      <w:proofErr w:type="gramStart"/>
      <w:r w:rsidR="0072484D" w:rsidRPr="00E45B46">
        <w:t>action</w:t>
      </w:r>
      <w:r w:rsidR="00317B26">
        <w:t>[</w:t>
      </w:r>
      <w:proofErr w:type="gramEnd"/>
      <w:r w:rsidR="00317B26">
        <w:t> ]</w:t>
      </w:r>
      <w:r w:rsidR="0072484D" w:rsidRPr="00E45B46">
        <w:t xml:space="preserve"> for money damages</w:t>
      </w:r>
      <w:r w:rsidR="0072484D">
        <w:t>.”</w:t>
      </w:r>
      <w:r w:rsidR="000A2491">
        <w:t xml:space="preserve"> </w:t>
      </w:r>
      <w:r w:rsidR="0072484D">
        <w:t>487 U.S. at 893.</w:t>
      </w:r>
      <w:r w:rsidR="000A2491">
        <w:t xml:space="preserve"> </w:t>
      </w:r>
    </w:p>
    <w:p w14:paraId="15ADEBCF" w14:textId="68579AB1" w:rsidR="0072484D" w:rsidRPr="005F255B" w:rsidRDefault="0072484D" w:rsidP="00250435">
      <w:pPr>
        <w:pStyle w:val="Body"/>
      </w:pPr>
      <w:r>
        <w:rPr>
          <w:i/>
          <w:iCs/>
        </w:rPr>
        <w:t xml:space="preserve">Bowen </w:t>
      </w:r>
      <w:r>
        <w:t>also held that not all “monetary aspects” of a relief sought by a plaintiff are “money damages” as the APA uses the term in § 702.</w:t>
      </w:r>
      <w:r w:rsidR="000A2491">
        <w:t xml:space="preserve"> </w:t>
      </w:r>
      <w:r>
        <w:rPr>
          <w:i/>
          <w:iCs/>
        </w:rPr>
        <w:t>Id.</w:t>
      </w:r>
      <w:r w:rsidR="000A2491">
        <w:t xml:space="preserve"> </w:t>
      </w:r>
      <w:r>
        <w:t>Specifically, when a plaintiff is seeking something analogous to an equitable action for “specific relief”—which may involve the reinstatement or recovery of monies</w:t>
      </w:r>
      <w:proofErr w:type="gramStart"/>
      <w:r>
        <w:t>—“</w:t>
      </w:r>
      <w:proofErr w:type="gramEnd"/>
      <w:r>
        <w:t xml:space="preserve">the fact that a judicial remedy </w:t>
      </w:r>
      <w:r>
        <w:lastRenderedPageBreak/>
        <w:t>may require one party to pay money to another is not a sufficient reason to characterize” the requested remedy as one for “money damages.”</w:t>
      </w:r>
      <w:r w:rsidR="000A2491">
        <w:t xml:space="preserve"> </w:t>
      </w:r>
      <w:r>
        <w:rPr>
          <w:i/>
          <w:iCs/>
        </w:rPr>
        <w:t xml:space="preserve">Id. </w:t>
      </w:r>
      <w:r>
        <w:t xml:space="preserve">(relying on </w:t>
      </w:r>
      <w:r w:rsidRPr="009101EF">
        <w:rPr>
          <w:i/>
          <w:iCs/>
        </w:rPr>
        <w:t>Larson v. Domestic &amp; Foreign Commerce Corp</w:t>
      </w:r>
      <w:r>
        <w:t xml:space="preserve">., 337 U.S. 682, 688 </w:t>
      </w:r>
      <w:r w:rsidRPr="009101EF">
        <w:t>(1949)</w:t>
      </w:r>
      <w:r w:rsidR="009B42C0">
        <w:t xml:space="preserve">, </w:t>
      </w:r>
      <w:r>
        <w:t xml:space="preserve">and </w:t>
      </w:r>
      <w:r w:rsidRPr="009101EF">
        <w:rPr>
          <w:i/>
          <w:iCs/>
        </w:rPr>
        <w:t>School Committee of Burlington v. Department of Education of Massachusetts</w:t>
      </w:r>
      <w:r>
        <w:t xml:space="preserve">, 471 U.S. 359, 370–371 </w:t>
      </w:r>
      <w:r w:rsidRPr="009101EF">
        <w:t>(1985)</w:t>
      </w:r>
      <w:r>
        <w:t>)</w:t>
      </w:r>
      <w:r w:rsidRPr="009101EF">
        <w:t>.</w:t>
      </w:r>
      <w:r w:rsidR="000A2491">
        <w:t xml:space="preserve"> </w:t>
      </w:r>
      <w:r>
        <w:t xml:space="preserve">Thus, agencies may not ask to “substitute the words ‘monetary relief’ for the words ‘money damages,’” </w:t>
      </w:r>
      <w:r>
        <w:rPr>
          <w:i/>
          <w:iCs/>
        </w:rPr>
        <w:t>Bowen</w:t>
      </w:r>
      <w:r>
        <w:t>, 487 U.S. at 896.</w:t>
      </w:r>
      <w:r w:rsidR="000A2491">
        <w:t xml:space="preserve"> </w:t>
      </w:r>
      <w:r w:rsidR="005A7BE7">
        <w:t>According to</w:t>
      </w:r>
      <w:r>
        <w:t xml:space="preserve"> the Court, its holding flowed from the “unambiguous” drafting by Congress in 1976.</w:t>
      </w:r>
      <w:r w:rsidR="000A2491">
        <w:t xml:space="preserve"> </w:t>
      </w:r>
      <w:r>
        <w:rPr>
          <w:i/>
          <w:iCs/>
        </w:rPr>
        <w:t>Id.</w:t>
      </w:r>
      <w:r w:rsidRPr="0030127A">
        <w:rPr>
          <w:rStyle w:val="FootnoteReference"/>
        </w:rPr>
        <w:footnoteReference w:id="3"/>
      </w:r>
    </w:p>
    <w:p w14:paraId="4C3C24DD" w14:textId="00900CE4" w:rsidR="0072484D" w:rsidRDefault="00250435" w:rsidP="0072484D">
      <w:pPr>
        <w:pStyle w:val="Body"/>
      </w:pPr>
      <w:r>
        <w:t>T</w:t>
      </w:r>
      <w:r w:rsidR="0072484D">
        <w:t xml:space="preserve">he </w:t>
      </w:r>
      <w:r w:rsidR="0072484D">
        <w:rPr>
          <w:i/>
          <w:iCs/>
        </w:rPr>
        <w:t xml:space="preserve">Bowen </w:t>
      </w:r>
      <w:r w:rsidR="0072484D">
        <w:t xml:space="preserve">Court </w:t>
      </w:r>
      <w:r>
        <w:t xml:space="preserve">also </w:t>
      </w:r>
      <w:r w:rsidR="0072484D">
        <w:t>emphasized that § 704 of the APA further reinforces that when relief is “doubtful and limited” in the Claims Court, the Tucker Act cannot be read to displace district court jurisdiction.</w:t>
      </w:r>
      <w:r w:rsidR="000A2491">
        <w:t xml:space="preserve"> </w:t>
      </w:r>
      <w:r w:rsidR="0072484D">
        <w:rPr>
          <w:i/>
          <w:iCs/>
        </w:rPr>
        <w:t xml:space="preserve">Id. </w:t>
      </w:r>
      <w:r w:rsidR="0072484D">
        <w:t>at 901.</w:t>
      </w:r>
      <w:r w:rsidR="000A2491">
        <w:t xml:space="preserve"> </w:t>
      </w:r>
      <w:r w:rsidR="0072484D">
        <w:t>Section 704 requires that “</w:t>
      </w:r>
      <w:r w:rsidR="0072484D" w:rsidRPr="006D54B0">
        <w:t>every final agency action for which there is no other adequate remedy in any court shall be subject to judicial review</w:t>
      </w:r>
      <w:r w:rsidR="0072484D">
        <w:t>.”</w:t>
      </w:r>
      <w:r w:rsidR="000A2491">
        <w:t xml:space="preserve"> </w:t>
      </w:r>
      <w:r w:rsidR="0072484D">
        <w:t>5 U.S.C. § 704.</w:t>
      </w:r>
      <w:r w:rsidR="000A2491">
        <w:t xml:space="preserve"> </w:t>
      </w:r>
      <w:r w:rsidR="0072484D">
        <w:t xml:space="preserve">Quoting </w:t>
      </w:r>
      <w:r w:rsidR="0072484D" w:rsidRPr="00AD1A8F">
        <w:rPr>
          <w:i/>
          <w:iCs/>
        </w:rPr>
        <w:t xml:space="preserve">Shaughnessy v. </w:t>
      </w:r>
      <w:r w:rsidR="0072484D" w:rsidRPr="00AD1A8F">
        <w:rPr>
          <w:i/>
          <w:iCs/>
        </w:rPr>
        <w:lastRenderedPageBreak/>
        <w:t>Pedreiro</w:t>
      </w:r>
      <w:r w:rsidR="0072484D">
        <w:t>, 349 U.S. 48, 51 (1955), the Court held that “a</w:t>
      </w:r>
      <w:r w:rsidR="0072484D" w:rsidRPr="00AD1A8F">
        <w:t xml:space="preserve"> restrictive interpretation</w:t>
      </w:r>
      <w:r w:rsidR="0072484D">
        <w:t xml:space="preserve"> of § 704 would unquestionably . . . </w:t>
      </w:r>
      <w:r w:rsidR="0072484D" w:rsidRPr="00AD1A8F">
        <w:t xml:space="preserve">run counter to </w:t>
      </w:r>
      <w:r w:rsidR="0072484D">
        <w:t xml:space="preserve">. . . </w:t>
      </w:r>
      <w:r w:rsidR="0072484D" w:rsidRPr="00AD1A8F">
        <w:t>th</w:t>
      </w:r>
      <w:r w:rsidR="0072484D">
        <w:t>e Administrative Procedure Act.</w:t>
      </w:r>
      <w:r w:rsidR="000A2491">
        <w:t xml:space="preserve"> </w:t>
      </w:r>
      <w:r w:rsidR="0072484D">
        <w:t>[Its]</w:t>
      </w:r>
      <w:r w:rsidR="0072484D" w:rsidRPr="00AD1A8F">
        <w:t xml:space="preserve"> purpose was to remove obstacles to judicial review of agency action under subsequently</w:t>
      </w:r>
      <w:r w:rsidR="0072484D">
        <w:t xml:space="preserve"> </w:t>
      </w:r>
      <w:r w:rsidR="0072484D" w:rsidRPr="00AD1A8F">
        <w:t>enacted statutes</w:t>
      </w:r>
      <w:r w:rsidR="0072484D">
        <w:t xml:space="preserve">.” </w:t>
      </w:r>
      <w:r w:rsidR="0072484D">
        <w:rPr>
          <w:i/>
          <w:iCs/>
        </w:rPr>
        <w:t>Bowen</w:t>
      </w:r>
      <w:r w:rsidR="0072484D">
        <w:t>, 487 U.S. at 904</w:t>
      </w:r>
      <w:r w:rsidR="0063786A">
        <w:t xml:space="preserve"> (cleaned up)</w:t>
      </w:r>
      <w:r w:rsidR="0072484D">
        <w:t>.</w:t>
      </w:r>
      <w:r w:rsidR="000A2491">
        <w:t xml:space="preserve"> </w:t>
      </w:r>
      <w:r w:rsidR="0072484D">
        <w:t>The Court reinforced that that the Tucker Act cannot be read to “oust a district court of its normal jurisdiction under the APA.”</w:t>
      </w:r>
      <w:r w:rsidR="000A2491">
        <w:t xml:space="preserve"> </w:t>
      </w:r>
      <w:r w:rsidR="0072484D">
        <w:rPr>
          <w:i/>
          <w:iCs/>
        </w:rPr>
        <w:t>Id.</w:t>
      </w:r>
      <w:r w:rsidR="000A2491">
        <w:t xml:space="preserve"> </w:t>
      </w:r>
      <w:r w:rsidR="0072484D">
        <w:t xml:space="preserve">Because the Court of Federal Claims has no power to grant equitable or prospective relief, </w:t>
      </w:r>
      <w:r w:rsidR="0072484D">
        <w:rPr>
          <w:i/>
          <w:iCs/>
        </w:rPr>
        <w:t>see</w:t>
      </w:r>
      <w:r>
        <w:rPr>
          <w:i/>
          <w:iCs/>
        </w:rPr>
        <w:t xml:space="preserve"> also</w:t>
      </w:r>
      <w:r w:rsidR="0072484D">
        <w:rPr>
          <w:i/>
          <w:iCs/>
        </w:rPr>
        <w:t xml:space="preserve"> </w:t>
      </w:r>
      <w:r w:rsidR="0072484D" w:rsidRPr="00A50F43">
        <w:rPr>
          <w:i/>
          <w:iCs/>
        </w:rPr>
        <w:t>Ferreiro v. United States</w:t>
      </w:r>
      <w:r w:rsidR="0072484D" w:rsidRPr="00A50F43">
        <w:t>, 501 F.3d 1349, 1353 n.3 (Fed. Cir. 2007) (“An order compelling the government to follow its regulations is equitable in nature and is beyond the jurisdiction of the Court of Federal Claims.”)</w:t>
      </w:r>
      <w:r w:rsidR="0072484D">
        <w:t xml:space="preserve">, the </w:t>
      </w:r>
      <w:r w:rsidR="0072484D">
        <w:rPr>
          <w:i/>
          <w:iCs/>
        </w:rPr>
        <w:t xml:space="preserve">Bowen </w:t>
      </w:r>
      <w:r w:rsidR="0072484D">
        <w:t xml:space="preserve">Court held that APA jurisdiction was proper. </w:t>
      </w:r>
    </w:p>
    <w:p w14:paraId="3A5F02C2" w14:textId="7A50E93B" w:rsidR="0072484D" w:rsidRDefault="00E24ADA" w:rsidP="0072484D">
      <w:pPr>
        <w:pStyle w:val="Body"/>
        <w:rPr>
          <w:rFonts w:cs="Arial"/>
          <w:color w:val="000000"/>
          <w:lang w:bidi="he-IL"/>
        </w:rPr>
      </w:pPr>
      <w:r>
        <w:t>T</w:t>
      </w:r>
      <w:r w:rsidR="0072484D">
        <w:t>he Tucker Act</w:t>
      </w:r>
      <w:r w:rsidR="0072484D" w:rsidRPr="00AF0DEC">
        <w:t xml:space="preserve"> “impliedly forbid</w:t>
      </w:r>
      <w:r w:rsidR="0072484D">
        <w:t>[s]</w:t>
      </w:r>
      <w:r w:rsidR="0072484D" w:rsidRPr="00AF0DEC">
        <w:t xml:space="preserve"> contract claims against the Government from being brought in district court under the waiver in the APA.” </w:t>
      </w:r>
      <w:r w:rsidR="0072484D" w:rsidRPr="00AF0DEC">
        <w:rPr>
          <w:i/>
          <w:iCs/>
        </w:rPr>
        <w:t xml:space="preserve">Crowley </w:t>
      </w:r>
      <w:r w:rsidRPr="00AF0DEC">
        <w:rPr>
          <w:i/>
          <w:iCs/>
        </w:rPr>
        <w:t>Gov</w:t>
      </w:r>
      <w:r>
        <w:rPr>
          <w:i/>
          <w:iCs/>
        </w:rPr>
        <w:t>’</w:t>
      </w:r>
      <w:r w:rsidRPr="00AF0DEC">
        <w:rPr>
          <w:i/>
          <w:iCs/>
        </w:rPr>
        <w:t xml:space="preserve">t </w:t>
      </w:r>
      <w:r w:rsidR="0072484D" w:rsidRPr="00AF0DEC">
        <w:rPr>
          <w:i/>
          <w:iCs/>
        </w:rPr>
        <w:t>Servs., Inc. v. Gen. Servs. Admin.</w:t>
      </w:r>
      <w:r w:rsidR="0072484D" w:rsidRPr="00AF0DEC">
        <w:t>, 38 F.4th 1099, 1106 (D.C. Cir. 2022)</w:t>
      </w:r>
      <w:r w:rsidR="0072484D">
        <w:t>.</w:t>
      </w:r>
      <w:r w:rsidR="000A2491">
        <w:t xml:space="preserve"> </w:t>
      </w:r>
      <w:r w:rsidR="0072484D">
        <w:t xml:space="preserve">The Tucker Act would require exclusive jurisdiction in the Court of Federal Claims if </w:t>
      </w:r>
      <w:r w:rsidR="00F81E16">
        <w:t>P</w:t>
      </w:r>
      <w:r w:rsidR="0072484D">
        <w:t>laintiffs’</w:t>
      </w:r>
      <w:r w:rsidR="0072484D" w:rsidRPr="00A800DD">
        <w:t xml:space="preserve"> claims </w:t>
      </w:r>
      <w:r w:rsidR="0072484D">
        <w:t>were</w:t>
      </w:r>
      <w:r w:rsidR="0072484D" w:rsidRPr="00A800DD">
        <w:t xml:space="preserve"> “founded </w:t>
      </w:r>
      <w:r w:rsidR="00304156">
        <w:t>. . .</w:t>
      </w:r>
      <w:r w:rsidR="0072484D" w:rsidRPr="00A800DD">
        <w:t xml:space="preserve"> upon any express or implied contract,” 28 U.S.C. §</w:t>
      </w:r>
      <w:r w:rsidR="000C626F">
        <w:t> </w:t>
      </w:r>
      <w:r w:rsidR="0072484D" w:rsidRPr="00A800DD">
        <w:t>1491(a)(1)</w:t>
      </w:r>
      <w:r w:rsidR="0072484D">
        <w:t>.</w:t>
      </w:r>
      <w:r w:rsidR="000A2491">
        <w:t xml:space="preserve"> </w:t>
      </w:r>
      <w:r w:rsidR="0072484D">
        <w:t xml:space="preserve">But </w:t>
      </w:r>
      <w:r>
        <w:t xml:space="preserve">that principle does not control here: </w:t>
      </w:r>
      <w:r w:rsidR="0072484D">
        <w:t xml:space="preserve">when the cause of </w:t>
      </w:r>
      <w:r w:rsidR="0072484D">
        <w:lastRenderedPageBreak/>
        <w:t>action is rooted in the APA and aims to “set aside” agency action under</w:t>
      </w:r>
      <w:r w:rsidR="0072484D" w:rsidRPr="00A800DD">
        <w:t xml:space="preserve"> § </w:t>
      </w:r>
      <w:r w:rsidR="0072484D">
        <w:t xml:space="preserve">706 that is not in conformity with statutory or regulatory law—particularly when the </w:t>
      </w:r>
      <w:r w:rsidR="00F81E16">
        <w:t>P</w:t>
      </w:r>
      <w:r w:rsidR="0072484D" w:rsidRPr="001666B5">
        <w:t xml:space="preserve">laintiffs do not have a contract action to bring before the Court of Federal Claims </w:t>
      </w:r>
      <w:r w:rsidR="0072484D">
        <w:t xml:space="preserve">anyway </w:t>
      </w:r>
      <w:r w:rsidR="0072484D" w:rsidRPr="001666B5">
        <w:t xml:space="preserve">because </w:t>
      </w:r>
      <w:r w:rsidR="0072484D">
        <w:t>they</w:t>
      </w:r>
      <w:r w:rsidR="0072484D" w:rsidRPr="001666B5">
        <w:t xml:space="preserve"> </w:t>
      </w:r>
      <w:r w:rsidR="0072484D">
        <w:t>are not parties</w:t>
      </w:r>
      <w:r w:rsidR="0072484D" w:rsidRPr="001666B5">
        <w:t xml:space="preserve"> to a contract with the United States—the Tucker Act does not impliedly forbid invocation of the APA.</w:t>
      </w:r>
      <w:r w:rsidR="0072484D" w:rsidRPr="001666B5">
        <w:rPr>
          <w:rFonts w:cs="Arial"/>
          <w:color w:val="000000"/>
          <w:lang w:bidi="he-IL"/>
        </w:rPr>
        <w:t xml:space="preserve"> </w:t>
      </w:r>
      <w:r w:rsidR="0072484D">
        <w:rPr>
          <w:rFonts w:cs="Arial"/>
          <w:color w:val="000000"/>
          <w:lang w:bidi="he-IL"/>
        </w:rPr>
        <w:t>“</w:t>
      </w:r>
      <w:r w:rsidR="0072484D" w:rsidRPr="001666B5">
        <w:rPr>
          <w:rFonts w:cs="Arial"/>
          <w:color w:val="000000"/>
          <w:lang w:bidi="he-IL"/>
        </w:rPr>
        <w:t>Whether a claim is contractual or sta</w:t>
      </w:r>
      <w:r w:rsidR="0072484D">
        <w:rPr>
          <w:rFonts w:cs="Arial"/>
          <w:color w:val="000000"/>
          <w:lang w:bidi="he-IL"/>
        </w:rPr>
        <w:t xml:space="preserve">tutory for Tucker Act purposes </w:t>
      </w:r>
      <w:r w:rsidR="0072484D" w:rsidRPr="001666B5">
        <w:rPr>
          <w:rFonts w:cs="Arial"/>
          <w:color w:val="000000"/>
          <w:lang w:bidi="he-IL"/>
        </w:rPr>
        <w:t>depends both on the source of the rights upon which the plaintiff bases its claims, and upon the type of relief sought (or appropriate).</w:t>
      </w:r>
      <w:r w:rsidR="0072484D">
        <w:rPr>
          <w:rFonts w:cs="Arial"/>
          <w:color w:val="000000"/>
          <w:lang w:bidi="he-IL"/>
        </w:rPr>
        <w:t>”</w:t>
      </w:r>
      <w:r w:rsidR="000A2491">
        <w:rPr>
          <w:rFonts w:cs="Arial"/>
          <w:color w:val="000000"/>
          <w:lang w:bidi="he-IL"/>
        </w:rPr>
        <w:t xml:space="preserve"> </w:t>
      </w:r>
      <w:r w:rsidR="0072484D" w:rsidRPr="001666B5">
        <w:rPr>
          <w:rFonts w:cs="Arial"/>
          <w:i/>
          <w:iCs/>
          <w:color w:val="000000"/>
          <w:lang w:bidi="he-IL"/>
        </w:rPr>
        <w:t>Safeco Ins. Co. of Am. v. United States</w:t>
      </w:r>
      <w:r w:rsidR="0072484D" w:rsidRPr="001666B5">
        <w:rPr>
          <w:rFonts w:cs="Arial"/>
          <w:color w:val="000000"/>
          <w:lang w:bidi="he-IL"/>
        </w:rPr>
        <w:t>, 53 F.3d 339 (9th Cir. 1995)</w:t>
      </w:r>
      <w:r w:rsidR="0072484D">
        <w:rPr>
          <w:rFonts w:cs="Arial"/>
          <w:color w:val="000000"/>
          <w:lang w:bidi="he-IL"/>
        </w:rPr>
        <w:t xml:space="preserve"> (cleaned up).</w:t>
      </w:r>
    </w:p>
    <w:p w14:paraId="69F9A976" w14:textId="6678292E" w:rsidR="0072484D" w:rsidRPr="001666B5" w:rsidRDefault="0072484D" w:rsidP="0072484D">
      <w:pPr>
        <w:pStyle w:val="Body"/>
        <w:rPr>
          <w:rFonts w:cs="Arial"/>
          <w:color w:val="000000"/>
          <w:lang w:bidi="he-IL"/>
        </w:rPr>
      </w:pPr>
      <w:r>
        <w:t>The Tucker Act essentially ejects an</w:t>
      </w:r>
      <w:r w:rsidRPr="00A50F43">
        <w:t xml:space="preserve"> </w:t>
      </w:r>
      <w:r>
        <w:t>“</w:t>
      </w:r>
      <w:r w:rsidRPr="00A50F43">
        <w:t xml:space="preserve">APA action seeking injunctive and declaratory relief only if that action is a ‘disguised’ breach-of-contract claim.” </w:t>
      </w:r>
      <w:r w:rsidRPr="00A50F43">
        <w:rPr>
          <w:i/>
          <w:iCs/>
        </w:rPr>
        <w:t>United Aeronautical Corp. v. U.S. Air Force</w:t>
      </w:r>
      <w:r w:rsidRPr="00A50F43">
        <w:t xml:space="preserve">, 80 F.4th 1017, 1026 (9th Cir. 2023) (quoting </w:t>
      </w:r>
      <w:proofErr w:type="spellStart"/>
      <w:r w:rsidRPr="00A50F43">
        <w:rPr>
          <w:i/>
          <w:iCs/>
        </w:rPr>
        <w:t>Megapulse</w:t>
      </w:r>
      <w:proofErr w:type="spellEnd"/>
      <w:r w:rsidRPr="00A50F43">
        <w:rPr>
          <w:i/>
          <w:iCs/>
        </w:rPr>
        <w:t>, Inc. v. Lewis</w:t>
      </w:r>
      <w:r w:rsidRPr="00A50F43">
        <w:t>, 672 F.2d 959, 968 (D.C. Cir. 1982)</w:t>
      </w:r>
      <w:r>
        <w:t xml:space="preserve">); </w:t>
      </w:r>
      <w:r w:rsidRPr="00A50F43">
        <w:rPr>
          <w:i/>
          <w:iCs/>
        </w:rPr>
        <w:t xml:space="preserve">see also </w:t>
      </w:r>
      <w:r w:rsidRPr="000C626F">
        <w:rPr>
          <w:i/>
          <w:iCs/>
        </w:rPr>
        <w:t>N. Star Alaska v. United States</w:t>
      </w:r>
      <w:r w:rsidRPr="00E250F9">
        <w:t>,</w:t>
      </w:r>
      <w:r>
        <w:t xml:space="preserve"> 14 F.3d 36, 37 (9th Cir. 1994)</w:t>
      </w:r>
      <w:r w:rsidRPr="00A50F43">
        <w:t>.</w:t>
      </w:r>
      <w:r w:rsidR="000A2491">
        <w:rPr>
          <w:i/>
          <w:iCs/>
        </w:rPr>
        <w:t xml:space="preserve"> </w:t>
      </w:r>
      <w:r>
        <w:t>As one judge recently put it, “</w:t>
      </w:r>
      <w:r w:rsidR="002C1412">
        <w:t>[</w:t>
      </w:r>
      <w:proofErr w:type="spellStart"/>
      <w:r w:rsidR="002C1412">
        <w:t>w]</w:t>
      </w:r>
      <w:r w:rsidRPr="002949C2">
        <w:t>hat</w:t>
      </w:r>
      <w:proofErr w:type="spellEnd"/>
      <w:r w:rsidRPr="002949C2">
        <w:t xml:space="preserve"> matters is what the court must examine to resolve the case: If a plaintiff</w:t>
      </w:r>
      <w:r w:rsidR="002C1412">
        <w:t>’</w:t>
      </w:r>
      <w:r w:rsidRPr="002949C2">
        <w:t xml:space="preserve">s claim depends on interpretations of statutes and regulations rather than the terms of an agreement negotiated by the parties, the </w:t>
      </w:r>
      <w:r w:rsidRPr="002949C2">
        <w:lastRenderedPageBreak/>
        <w:t>claim is not in essence contractual.</w:t>
      </w:r>
      <w:r>
        <w:t>”</w:t>
      </w:r>
      <w:r w:rsidR="000A2491">
        <w:t xml:space="preserve"> </w:t>
      </w:r>
      <w:proofErr w:type="spellStart"/>
      <w:r w:rsidR="002C1412" w:rsidRPr="00CF0494">
        <w:rPr>
          <w:i/>
          <w:iCs/>
        </w:rPr>
        <w:t>Widakuswara</w:t>
      </w:r>
      <w:proofErr w:type="spellEnd"/>
      <w:r w:rsidR="002C1412" w:rsidRPr="00CF0494">
        <w:rPr>
          <w:i/>
          <w:iCs/>
        </w:rPr>
        <w:t xml:space="preserve"> v. Lake</w:t>
      </w:r>
      <w:r w:rsidR="002C1412">
        <w:t>, No. 25-5144, 2025 WL 1288817, at *12 (D.C. Cir. May 3, 2025) (</w:t>
      </w:r>
      <w:r w:rsidR="002C1412" w:rsidRPr="00077AD5">
        <w:t>Pillard, J., dissenting)</w:t>
      </w:r>
      <w:r w:rsidR="002C1412">
        <w:t>,</w:t>
      </w:r>
      <w:r w:rsidR="002C1412" w:rsidRPr="00CF0494">
        <w:rPr>
          <w:i/>
          <w:iCs/>
        </w:rPr>
        <w:t xml:space="preserve"> reconsideration </w:t>
      </w:r>
      <w:proofErr w:type="spellStart"/>
      <w:r w:rsidR="002C1412" w:rsidRPr="00CF0494">
        <w:rPr>
          <w:i/>
          <w:iCs/>
        </w:rPr>
        <w:t>en</w:t>
      </w:r>
      <w:proofErr w:type="spellEnd"/>
      <w:r w:rsidR="002C1412" w:rsidRPr="00CF0494">
        <w:rPr>
          <w:i/>
          <w:iCs/>
        </w:rPr>
        <w:t xml:space="preserve"> banc granted</w:t>
      </w:r>
      <w:r w:rsidR="002C1412">
        <w:t>, No. 25-5144, 2025 WL 1521355 (D.C. Cir. May 28, 2025) (</w:t>
      </w:r>
      <w:r w:rsidR="002C1412" w:rsidRPr="00F35305">
        <w:t xml:space="preserve">granting motion for </w:t>
      </w:r>
      <w:proofErr w:type="spellStart"/>
      <w:r w:rsidR="002C1412" w:rsidRPr="00F35305">
        <w:t>en</w:t>
      </w:r>
      <w:proofErr w:type="spellEnd"/>
      <w:r w:rsidR="002C1412" w:rsidRPr="00F35305">
        <w:t xml:space="preserve"> banc reconsideration and vacatur of government</w:t>
      </w:r>
      <w:r w:rsidR="002C1412">
        <w:t>’</w:t>
      </w:r>
      <w:r w:rsidR="002C1412" w:rsidRPr="00F35305">
        <w:t>s stay pending appeal for “substantially” the same “reasons explained by Judge Pillard”</w:t>
      </w:r>
      <w:r w:rsidR="002C1412">
        <w:t>).</w:t>
      </w:r>
    </w:p>
    <w:p w14:paraId="7CB084C2" w14:textId="48D8C1B3" w:rsidR="006F42A7" w:rsidRDefault="0072484D" w:rsidP="0072484D">
      <w:pPr>
        <w:pStyle w:val="Body"/>
        <w:rPr>
          <w:lang w:val="x-none" w:eastAsia="x-none"/>
        </w:rPr>
      </w:pPr>
      <w:r>
        <w:t xml:space="preserve">Applying </w:t>
      </w:r>
      <w:r>
        <w:rPr>
          <w:i/>
          <w:iCs/>
        </w:rPr>
        <w:t xml:space="preserve">Bowen </w:t>
      </w:r>
      <w:r w:rsidR="002C1412">
        <w:t>here</w:t>
      </w:r>
      <w:r>
        <w:t xml:space="preserve"> is straightforward.</w:t>
      </w:r>
      <w:r w:rsidR="000A2491">
        <w:t xml:space="preserve"> </w:t>
      </w:r>
      <w:r>
        <w:rPr>
          <w:i/>
          <w:iCs/>
        </w:rPr>
        <w:t xml:space="preserve">Bowen </w:t>
      </w:r>
      <w:r>
        <w:t xml:space="preserve">is </w:t>
      </w:r>
      <w:r w:rsidRPr="00B83E7D">
        <w:t xml:space="preserve">stare decisis </w:t>
      </w:r>
      <w:r>
        <w:t>on the reach of the APA as well as on the Tucker Act—and must be followed.</w:t>
      </w:r>
      <w:r w:rsidR="000A2491">
        <w:t xml:space="preserve"> </w:t>
      </w:r>
      <w:r>
        <w:t>It confirms that jurisdiction in the district court was proper.</w:t>
      </w:r>
      <w:r w:rsidR="000A2491">
        <w:t xml:space="preserve"> </w:t>
      </w:r>
      <w:r>
        <w:t xml:space="preserve">The </w:t>
      </w:r>
      <w:r w:rsidR="00F81E16">
        <w:t>P</w:t>
      </w:r>
      <w:r>
        <w:t xml:space="preserve">laintiffs’ claims here are not founded on any contract they have with the federal government—they are subcontractors and thus wouldn’t have any viable claim before the Court of Federal Claims—and the court would not have to interpret any contract to hold in favor of the </w:t>
      </w:r>
      <w:r w:rsidR="00F81E16">
        <w:t>P</w:t>
      </w:r>
      <w:r>
        <w:t>laintiffs on the merits.</w:t>
      </w:r>
      <w:r w:rsidR="000A2491">
        <w:t xml:space="preserve"> </w:t>
      </w:r>
      <w:r>
        <w:t xml:space="preserve">Because their claims are cognizable under the APA as based in interpretations of statutory and regulatory law, </w:t>
      </w:r>
      <w:r>
        <w:rPr>
          <w:i/>
          <w:iCs/>
        </w:rPr>
        <w:t>Bowen</w:t>
      </w:r>
      <w:r w:rsidR="008530C1">
        <w:t xml:space="preserve"> confirms </w:t>
      </w:r>
      <w:r>
        <w:t>that the district court had jurisdiction.</w:t>
      </w:r>
      <w:r w:rsidR="00B83E7D">
        <w:rPr>
          <w:lang w:val="x-none" w:eastAsia="x-none"/>
        </w:rPr>
        <w:t xml:space="preserve"> </w:t>
      </w:r>
    </w:p>
    <w:p w14:paraId="195CFFB8" w14:textId="59A54E97" w:rsidR="007B0ADD" w:rsidRDefault="0072484D" w:rsidP="007B0ADD">
      <w:pPr>
        <w:pStyle w:val="Heading2"/>
      </w:pPr>
      <w:bookmarkStart w:id="23" w:name="_Toc202878664"/>
      <w:bookmarkStart w:id="24" w:name="_Toc202911625"/>
      <w:r>
        <w:rPr>
          <w:i/>
          <w:iCs/>
        </w:rPr>
        <w:lastRenderedPageBreak/>
        <w:t xml:space="preserve">Bowen </w:t>
      </w:r>
      <w:r>
        <w:t>must be deemed to be Congress’s final word until it modifies the relevant statutes because statutory precedents are entitled to “superpowered” stare decisis status.</w:t>
      </w:r>
      <w:bookmarkEnd w:id="23"/>
      <w:bookmarkEnd w:id="24"/>
    </w:p>
    <w:p w14:paraId="499207A1" w14:textId="4B23A60E" w:rsidR="002C1412" w:rsidRPr="00BD7C50" w:rsidRDefault="007B0ADD" w:rsidP="007A42D6">
      <w:pPr>
        <w:pStyle w:val="Body"/>
        <w:rPr>
          <w:i/>
          <w:iCs/>
          <w:lang w:eastAsia="x-none"/>
        </w:rPr>
      </w:pPr>
      <w:r>
        <w:rPr>
          <w:lang w:val="x-none" w:eastAsia="x-none"/>
        </w:rPr>
        <w:t xml:space="preserve"> </w:t>
      </w:r>
      <w:r w:rsidR="0072484D">
        <w:rPr>
          <w:i/>
          <w:iCs/>
          <w:lang w:val="x-none" w:eastAsia="x-none"/>
        </w:rPr>
        <w:t xml:space="preserve">Bowen </w:t>
      </w:r>
      <w:r w:rsidR="0072484D">
        <w:rPr>
          <w:lang w:val="x-none" w:eastAsia="x-none"/>
        </w:rPr>
        <w:t xml:space="preserve">is not just ordinary </w:t>
      </w:r>
      <w:r w:rsidR="0072484D" w:rsidRPr="009B62CF">
        <w:rPr>
          <w:lang w:val="x-none" w:eastAsia="x-none"/>
        </w:rPr>
        <w:t>stare decisis</w:t>
      </w:r>
      <w:r w:rsidR="0072484D">
        <w:rPr>
          <w:lang w:val="x-none" w:eastAsia="x-none"/>
        </w:rPr>
        <w:t xml:space="preserve"> to be accorded the ordinary respect cases receive to reinforce horizontal and vertical coherence in our laws, conducing to reliance and the rule of law.</w:t>
      </w:r>
      <w:r w:rsidR="000A2491">
        <w:rPr>
          <w:lang w:val="x-none" w:eastAsia="x-none"/>
        </w:rPr>
        <w:t xml:space="preserve"> </w:t>
      </w:r>
      <w:r w:rsidR="0072484D">
        <w:rPr>
          <w:lang w:val="x-none" w:eastAsia="x-none"/>
        </w:rPr>
        <w:t xml:space="preserve">Rather, because </w:t>
      </w:r>
      <w:r w:rsidR="0072484D">
        <w:rPr>
          <w:i/>
          <w:iCs/>
          <w:lang w:val="x-none" w:eastAsia="x-none"/>
        </w:rPr>
        <w:t>Bowen</w:t>
      </w:r>
      <w:r w:rsidR="0072484D">
        <w:rPr>
          <w:lang w:val="x-none" w:eastAsia="x-none"/>
        </w:rPr>
        <w:t xml:space="preserve"> flows from statutory interpretation about two statutes—which the Supreme Court found unambiguous—both of which Congress could revisit at its pleasure, it</w:t>
      </w:r>
      <w:r w:rsidR="0072484D">
        <w:rPr>
          <w:i/>
          <w:iCs/>
          <w:lang w:val="x-none" w:eastAsia="x-none"/>
        </w:rPr>
        <w:t xml:space="preserve"> </w:t>
      </w:r>
      <w:r w:rsidR="0072484D">
        <w:rPr>
          <w:lang w:val="x-none" w:eastAsia="x-none"/>
        </w:rPr>
        <w:t xml:space="preserve">should be afforded the “super-strong” </w:t>
      </w:r>
      <w:r w:rsidR="0072484D" w:rsidRPr="009B62CF">
        <w:rPr>
          <w:lang w:val="x-none" w:eastAsia="x-none"/>
        </w:rPr>
        <w:t>stare decisis</w:t>
      </w:r>
      <w:r w:rsidR="0072484D">
        <w:rPr>
          <w:i/>
          <w:iCs/>
          <w:lang w:val="x-none" w:eastAsia="x-none"/>
        </w:rPr>
        <w:t xml:space="preserve"> </w:t>
      </w:r>
      <w:r w:rsidR="0072484D">
        <w:rPr>
          <w:lang w:val="x-none" w:eastAsia="x-none"/>
        </w:rPr>
        <w:t>respect reserved for statutory precedent.</w:t>
      </w:r>
      <w:r w:rsidR="00BD7C50" w:rsidRPr="00BD7C50">
        <w:t xml:space="preserve"> </w:t>
      </w:r>
      <w:r w:rsidR="00BD7C50" w:rsidRPr="00BD7C50">
        <w:rPr>
          <w:lang w:eastAsia="x-none"/>
        </w:rPr>
        <w:t xml:space="preserve">Amy Coney Barrett, </w:t>
      </w:r>
      <w:r w:rsidR="00BD7C50" w:rsidRPr="00BD7C50">
        <w:rPr>
          <w:i/>
          <w:iCs/>
          <w:lang w:eastAsia="x-none"/>
        </w:rPr>
        <w:t>Statutory Stare Decisis in the Courts of Appeals</w:t>
      </w:r>
      <w:r w:rsidR="00BD7C50" w:rsidRPr="00BD7C50">
        <w:rPr>
          <w:lang w:eastAsia="x-none"/>
        </w:rPr>
        <w:t xml:space="preserve">, 73 </w:t>
      </w:r>
      <w:r w:rsidR="00BD7C50" w:rsidRPr="00E27BC3">
        <w:rPr>
          <w:smallCaps/>
          <w:lang w:eastAsia="x-none"/>
        </w:rPr>
        <w:t>Geo. Wash. L. Rev.</w:t>
      </w:r>
      <w:r w:rsidR="00BD7C50" w:rsidRPr="00BD7C50">
        <w:rPr>
          <w:lang w:eastAsia="x-none"/>
        </w:rPr>
        <w:t xml:space="preserve"> 317, 318</w:t>
      </w:r>
      <w:r w:rsidR="00BD7C50">
        <w:rPr>
          <w:lang w:eastAsia="x-none"/>
        </w:rPr>
        <w:t xml:space="preserve"> &amp; n.4</w:t>
      </w:r>
      <w:r w:rsidR="00BD7C50" w:rsidRPr="00BD7C50">
        <w:rPr>
          <w:lang w:eastAsia="x-none"/>
        </w:rPr>
        <w:t xml:space="preserve"> (2005)</w:t>
      </w:r>
      <w:r w:rsidR="00BD7C50">
        <w:rPr>
          <w:lang w:eastAsia="x-none"/>
        </w:rPr>
        <w:t xml:space="preserve"> (explaining term “super-strong statutory stare decisis”)</w:t>
      </w:r>
      <w:r w:rsidR="00E31490">
        <w:rPr>
          <w:lang w:eastAsia="x-none"/>
        </w:rPr>
        <w:t>;</w:t>
      </w:r>
      <w:r w:rsidR="000A2491">
        <w:rPr>
          <w:lang w:val="x-none" w:eastAsia="x-none"/>
        </w:rPr>
        <w:t xml:space="preserve"> </w:t>
      </w:r>
      <w:r w:rsidR="007A42D6">
        <w:rPr>
          <w:i/>
          <w:iCs/>
          <w:lang w:val="x-none" w:eastAsia="x-none"/>
        </w:rPr>
        <w:t>accord</w:t>
      </w:r>
      <w:r w:rsidR="0072484D">
        <w:rPr>
          <w:i/>
          <w:iCs/>
          <w:lang w:val="x-none" w:eastAsia="x-none"/>
        </w:rPr>
        <w:t xml:space="preserve"> </w:t>
      </w:r>
      <w:r w:rsidR="0072484D" w:rsidRPr="001A1AB0">
        <w:rPr>
          <w:i/>
          <w:iCs/>
          <w:lang w:eastAsia="x-none"/>
        </w:rPr>
        <w:t>Halliburton Co. v. Erica P. John Fund, Inc.</w:t>
      </w:r>
      <w:r w:rsidR="0072484D" w:rsidRPr="001A1AB0">
        <w:rPr>
          <w:lang w:eastAsia="x-none"/>
        </w:rPr>
        <w:t>, 573 U.S. 258, 274</w:t>
      </w:r>
      <w:r w:rsidR="0072484D">
        <w:rPr>
          <w:lang w:eastAsia="x-none"/>
        </w:rPr>
        <w:t xml:space="preserve"> (2014) (“</w:t>
      </w:r>
      <w:r w:rsidR="0072484D" w:rsidRPr="001A1AB0">
        <w:rPr>
          <w:lang w:eastAsia="x-none"/>
        </w:rPr>
        <w:t>The principle of stare decisis</w:t>
      </w:r>
      <w:r w:rsidR="0072484D">
        <w:rPr>
          <w:lang w:eastAsia="x-none"/>
        </w:rPr>
        <w:t xml:space="preserve"> has ‘special force’ </w:t>
      </w:r>
      <w:r w:rsidR="0072484D" w:rsidRPr="001A1AB0">
        <w:rPr>
          <w:lang w:eastAsia="x-none"/>
        </w:rPr>
        <w:t>in resp</w:t>
      </w:r>
      <w:r w:rsidR="0072484D">
        <w:rPr>
          <w:lang w:eastAsia="x-none"/>
        </w:rPr>
        <w:t xml:space="preserve">ect to statutory interpretation because </w:t>
      </w:r>
      <w:r w:rsidR="0072484D" w:rsidRPr="001A1AB0">
        <w:rPr>
          <w:lang w:eastAsia="x-none"/>
        </w:rPr>
        <w:t>Congress remains fre</w:t>
      </w:r>
      <w:r w:rsidR="0072484D">
        <w:rPr>
          <w:lang w:eastAsia="x-none"/>
        </w:rPr>
        <w:t>e to alter what we have done.”) (cleaned up);</w:t>
      </w:r>
      <w:r w:rsidR="0072484D">
        <w:rPr>
          <w:i/>
          <w:iCs/>
          <w:lang w:eastAsia="x-none"/>
        </w:rPr>
        <w:t xml:space="preserve"> </w:t>
      </w:r>
      <w:r w:rsidR="0072484D">
        <w:rPr>
          <w:i/>
          <w:iCs/>
          <w:lang w:val="x-none" w:eastAsia="x-none"/>
        </w:rPr>
        <w:t>CSX Transp., Inc. v. McBride</w:t>
      </w:r>
      <w:r w:rsidR="0072484D">
        <w:rPr>
          <w:lang w:val="x-none" w:eastAsia="x-none"/>
        </w:rPr>
        <w:t xml:space="preserve">, 564 U.S. 685, 699 (2011); </w:t>
      </w:r>
      <w:r w:rsidR="0072484D" w:rsidRPr="00865A8C">
        <w:rPr>
          <w:i/>
          <w:iCs/>
          <w:lang w:val="x-none" w:eastAsia="x-none"/>
        </w:rPr>
        <w:t>California v. FERC</w:t>
      </w:r>
      <w:r w:rsidR="0072484D">
        <w:rPr>
          <w:lang w:val="x-none" w:eastAsia="x-none"/>
        </w:rPr>
        <w:t xml:space="preserve">, 495 U.S. 490, 498-99 (1990); </w:t>
      </w:r>
      <w:r w:rsidR="0072484D" w:rsidRPr="00865A8C">
        <w:rPr>
          <w:i/>
          <w:iCs/>
          <w:lang w:val="x-none" w:eastAsia="x-none"/>
        </w:rPr>
        <w:t>Hohn v. United States</w:t>
      </w:r>
      <w:r w:rsidR="0072484D">
        <w:rPr>
          <w:lang w:val="x-none" w:eastAsia="x-none"/>
        </w:rPr>
        <w:t xml:space="preserve">, 524 U.S. 236, 251 (1998); </w:t>
      </w:r>
      <w:r w:rsidR="0072484D" w:rsidRPr="00865A8C">
        <w:rPr>
          <w:i/>
          <w:iCs/>
          <w:lang w:val="x-none" w:eastAsia="x-none"/>
        </w:rPr>
        <w:t>Patterson v. McLean Credit Union</w:t>
      </w:r>
      <w:r w:rsidR="0072484D">
        <w:rPr>
          <w:lang w:val="x-none" w:eastAsia="x-none"/>
        </w:rPr>
        <w:t>, 491 U.S. 164, 172</w:t>
      </w:r>
      <w:r w:rsidR="008A1B14">
        <w:rPr>
          <w:lang w:val="x-none" w:eastAsia="x-none"/>
        </w:rPr>
        <w:t>–</w:t>
      </w:r>
      <w:r w:rsidR="0072484D">
        <w:rPr>
          <w:lang w:val="x-none" w:eastAsia="x-none"/>
        </w:rPr>
        <w:t xml:space="preserve">73 (1989); </w:t>
      </w:r>
      <w:r w:rsidR="0072484D">
        <w:rPr>
          <w:i/>
          <w:iCs/>
          <w:lang w:val="x-none" w:eastAsia="x-none"/>
        </w:rPr>
        <w:t>John R. Sand &amp; Gravel Co. v. United States</w:t>
      </w:r>
      <w:r w:rsidR="0072484D">
        <w:rPr>
          <w:lang w:val="x-none" w:eastAsia="x-none"/>
        </w:rPr>
        <w:t>, 552 U.S. 130, 139 (2008)</w:t>
      </w:r>
      <w:r w:rsidR="007A42D6">
        <w:rPr>
          <w:lang w:val="x-none" w:eastAsia="x-none"/>
        </w:rPr>
        <w:t>.</w:t>
      </w:r>
    </w:p>
    <w:p w14:paraId="22AE0D2B" w14:textId="003C1431" w:rsidR="0072484D" w:rsidRPr="009278E1" w:rsidRDefault="0072484D" w:rsidP="00423AA5">
      <w:pPr>
        <w:pStyle w:val="Body"/>
        <w:rPr>
          <w:lang w:eastAsia="x-none"/>
        </w:rPr>
      </w:pPr>
      <w:r>
        <w:rPr>
          <w:lang w:val="x-none" w:eastAsia="x-none"/>
        </w:rPr>
        <w:lastRenderedPageBreak/>
        <w:t>The Court distinguishes</w:t>
      </w:r>
      <w:r w:rsidRPr="006F42A7">
        <w:rPr>
          <w:lang w:val="x-none" w:eastAsia="x-none"/>
        </w:rPr>
        <w:t xml:space="preserve"> statutory precedents from constitutional ones because Congress can correct </w:t>
      </w:r>
      <w:r>
        <w:rPr>
          <w:lang w:val="x-none" w:eastAsia="x-none"/>
        </w:rPr>
        <w:t xml:space="preserve">or adjust </w:t>
      </w:r>
      <w:r w:rsidRPr="006F42A7">
        <w:rPr>
          <w:lang w:val="x-none" w:eastAsia="x-none"/>
        </w:rPr>
        <w:t>the Court’s reading of a statute at any time, while constitutional</w:t>
      </w:r>
      <w:r>
        <w:rPr>
          <w:lang w:val="x-none" w:eastAsia="x-none"/>
        </w:rPr>
        <w:t xml:space="preserve"> correction requires amendment.</w:t>
      </w:r>
      <w:r w:rsidR="000A2491">
        <w:rPr>
          <w:lang w:val="x-none" w:eastAsia="x-none"/>
        </w:rPr>
        <w:t xml:space="preserve"> </w:t>
      </w:r>
      <w:r>
        <w:rPr>
          <w:i/>
          <w:iCs/>
          <w:lang w:val="x-none" w:eastAsia="x-none"/>
        </w:rPr>
        <w:t xml:space="preserve">See </w:t>
      </w:r>
      <w:r w:rsidRPr="008B5A86">
        <w:rPr>
          <w:i/>
          <w:iCs/>
          <w:lang w:eastAsia="x-none"/>
        </w:rPr>
        <w:t>Kimble v. Marvel Ent., LLC</w:t>
      </w:r>
      <w:r w:rsidRPr="008B5A86">
        <w:rPr>
          <w:lang w:eastAsia="x-none"/>
        </w:rPr>
        <w:t>,</w:t>
      </w:r>
      <w:r w:rsidRPr="007775AE">
        <w:rPr>
          <w:i/>
          <w:iCs/>
          <w:lang w:eastAsia="x-none"/>
        </w:rPr>
        <w:t xml:space="preserve"> </w:t>
      </w:r>
      <w:r>
        <w:rPr>
          <w:lang w:eastAsia="x-none"/>
        </w:rPr>
        <w:t xml:space="preserve">576 U.S. 446, 456 </w:t>
      </w:r>
      <w:r w:rsidRPr="008B5A86">
        <w:rPr>
          <w:lang w:eastAsia="x-none"/>
        </w:rPr>
        <w:t>(2015)</w:t>
      </w:r>
      <w:r>
        <w:rPr>
          <w:lang w:eastAsia="x-none"/>
        </w:rPr>
        <w:t xml:space="preserve">; </w:t>
      </w:r>
      <w:r>
        <w:rPr>
          <w:i/>
          <w:iCs/>
          <w:lang w:eastAsia="x-none"/>
        </w:rPr>
        <w:t xml:space="preserve">see also </w:t>
      </w:r>
      <w:r>
        <w:rPr>
          <w:lang w:val="x-none" w:eastAsia="x-none"/>
        </w:rPr>
        <w:t xml:space="preserve">Henry Paul Monaghan, </w:t>
      </w:r>
      <w:r>
        <w:rPr>
          <w:i/>
          <w:iCs/>
          <w:lang w:val="x-none" w:eastAsia="x-none"/>
        </w:rPr>
        <w:t>Stare Decisis and Constitutional Adjudication</w:t>
      </w:r>
      <w:r>
        <w:rPr>
          <w:lang w:val="x-none" w:eastAsia="x-none"/>
        </w:rPr>
        <w:t xml:space="preserve">, </w:t>
      </w:r>
      <w:r w:rsidRPr="007A0EDB">
        <w:rPr>
          <w:smallCaps/>
          <w:lang w:val="x-none" w:eastAsia="x-none"/>
        </w:rPr>
        <w:t>88 Colum. L. Rev.</w:t>
      </w:r>
      <w:r>
        <w:rPr>
          <w:lang w:val="x-none" w:eastAsia="x-none"/>
        </w:rPr>
        <w:t xml:space="preserve"> 723 (1988); </w:t>
      </w:r>
      <w:r w:rsidRPr="00DA271F">
        <w:rPr>
          <w:smallCaps/>
          <w:lang w:val="x-none" w:eastAsia="x-none"/>
        </w:rPr>
        <w:t>William Eskridge, Jr., Interpreting Law: A Primer on How To Interpret Statutes and the Constitution</w:t>
      </w:r>
      <w:r>
        <w:rPr>
          <w:lang w:val="x-none" w:eastAsia="x-none"/>
        </w:rPr>
        <w:t xml:space="preserve"> 141 (2016); Lawrence Solan, </w:t>
      </w:r>
      <w:r>
        <w:rPr>
          <w:i/>
          <w:iCs/>
          <w:lang w:val="x-none" w:eastAsia="x-none"/>
        </w:rPr>
        <w:t>Precedent in Statutory Interpretation</w:t>
      </w:r>
      <w:r>
        <w:rPr>
          <w:lang w:val="x-none" w:eastAsia="x-none"/>
        </w:rPr>
        <w:t xml:space="preserve">, 94 </w:t>
      </w:r>
      <w:r w:rsidRPr="00DE6FE2">
        <w:rPr>
          <w:smallCaps/>
          <w:lang w:val="x-none" w:eastAsia="x-none"/>
        </w:rPr>
        <w:t>N.C.L. Rev.</w:t>
      </w:r>
      <w:r w:rsidR="00423AA5">
        <w:rPr>
          <w:lang w:val="x-none" w:eastAsia="x-none"/>
        </w:rPr>
        <w:t xml:space="preserve"> 1165 (2016)</w:t>
      </w:r>
      <w:r>
        <w:rPr>
          <w:lang w:val="x-none" w:eastAsia="x-none"/>
        </w:rPr>
        <w:t xml:space="preserve">; Lawrence Marshall, </w:t>
      </w:r>
      <w:r>
        <w:rPr>
          <w:i/>
          <w:iCs/>
          <w:lang w:val="x-none" w:eastAsia="x-none"/>
        </w:rPr>
        <w:t>“Let Congress Do It”: The Case for an Absolute Rule of Statutory Stare Decisis</w:t>
      </w:r>
      <w:r>
        <w:rPr>
          <w:lang w:val="x-none" w:eastAsia="x-none"/>
        </w:rPr>
        <w:t xml:space="preserve">, 88 </w:t>
      </w:r>
      <w:r w:rsidRPr="00077CDD">
        <w:rPr>
          <w:smallCaps/>
          <w:lang w:val="x-none" w:eastAsia="x-none"/>
        </w:rPr>
        <w:t>Mich. L. Rev.</w:t>
      </w:r>
      <w:r>
        <w:rPr>
          <w:lang w:val="x-none" w:eastAsia="x-none"/>
        </w:rPr>
        <w:t xml:space="preserve"> 177 (1989).</w:t>
      </w:r>
      <w:r w:rsidR="000A2491">
        <w:rPr>
          <w:lang w:val="x-none" w:eastAsia="x-none"/>
        </w:rPr>
        <w:t xml:space="preserve"> </w:t>
      </w:r>
      <w:r>
        <w:rPr>
          <w:lang w:val="x-none" w:eastAsia="x-none"/>
        </w:rPr>
        <w:t>For this reason, the Court sometimes calls statutory precedents “s</w:t>
      </w:r>
      <w:r w:rsidRPr="009278E1">
        <w:rPr>
          <w:lang w:eastAsia="x-none"/>
        </w:rPr>
        <w:t>uperpowered</w:t>
      </w:r>
      <w:r w:rsidR="002C1412">
        <w:rPr>
          <w:lang w:eastAsia="x-none"/>
        </w:rPr>
        <w:t>.</w:t>
      </w:r>
      <w:r>
        <w:rPr>
          <w:lang w:eastAsia="x-none"/>
        </w:rPr>
        <w:t>”</w:t>
      </w:r>
      <w:r w:rsidRPr="009278E1">
        <w:rPr>
          <w:lang w:eastAsia="x-none"/>
        </w:rPr>
        <w:t xml:space="preserve"> </w:t>
      </w:r>
      <w:r>
        <w:rPr>
          <w:i/>
          <w:iCs/>
          <w:lang w:eastAsia="x-none"/>
        </w:rPr>
        <w:t>Kimble</w:t>
      </w:r>
      <w:r>
        <w:rPr>
          <w:lang w:eastAsia="x-none"/>
        </w:rPr>
        <w:t>, 576 U.S. at 458.</w:t>
      </w:r>
    </w:p>
    <w:p w14:paraId="3A2DAE12" w14:textId="634A07DB" w:rsidR="001A6574" w:rsidRDefault="0072484D" w:rsidP="0072484D">
      <w:pPr>
        <w:pStyle w:val="Body"/>
        <w:rPr>
          <w:lang w:eastAsia="x-none"/>
        </w:rPr>
      </w:pPr>
      <w:r>
        <w:rPr>
          <w:lang w:eastAsia="x-none"/>
        </w:rPr>
        <w:t xml:space="preserve">As recently as last year in </w:t>
      </w:r>
      <w:r>
        <w:rPr>
          <w:i/>
          <w:iCs/>
          <w:lang w:eastAsia="x-none"/>
        </w:rPr>
        <w:t>Loper Bright Enterprises v. Raimondo</w:t>
      </w:r>
      <w:r>
        <w:rPr>
          <w:lang w:eastAsia="x-none"/>
        </w:rPr>
        <w:t xml:space="preserve">, 603 U.S. 369 (2024), the Court reaffirmed its commitment to “statutory stare decisis,” </w:t>
      </w:r>
      <w:r>
        <w:rPr>
          <w:i/>
          <w:iCs/>
          <w:lang w:eastAsia="x-none"/>
        </w:rPr>
        <w:t xml:space="preserve">id. </w:t>
      </w:r>
      <w:r>
        <w:rPr>
          <w:lang w:eastAsia="x-none"/>
        </w:rPr>
        <w:t>at 412.</w:t>
      </w:r>
      <w:r w:rsidR="000A2491">
        <w:rPr>
          <w:lang w:eastAsia="x-none"/>
        </w:rPr>
        <w:t xml:space="preserve"> </w:t>
      </w:r>
      <w:r>
        <w:rPr>
          <w:lang w:eastAsia="x-none"/>
        </w:rPr>
        <w:t>It held that “special justification” is necessary to overrule a statutory decision—and that “just an argument that the precedent was wrongly decided” would be insufficient.</w:t>
      </w:r>
      <w:r w:rsidR="000A2491">
        <w:rPr>
          <w:lang w:eastAsia="x-none"/>
        </w:rPr>
        <w:t xml:space="preserve"> </w:t>
      </w:r>
      <w:r>
        <w:rPr>
          <w:i/>
          <w:iCs/>
          <w:lang w:eastAsia="x-none"/>
        </w:rPr>
        <w:t xml:space="preserve">Id. </w:t>
      </w:r>
      <w:r>
        <w:rPr>
          <w:lang w:eastAsia="x-none"/>
        </w:rPr>
        <w:t xml:space="preserve">And just last month, Justice Alito, in his concurrence in </w:t>
      </w:r>
      <w:r>
        <w:rPr>
          <w:i/>
          <w:iCs/>
          <w:lang w:eastAsia="x-none"/>
        </w:rPr>
        <w:t xml:space="preserve">United States v. </w:t>
      </w:r>
      <w:proofErr w:type="spellStart"/>
      <w:r>
        <w:rPr>
          <w:i/>
          <w:iCs/>
          <w:lang w:eastAsia="x-none"/>
        </w:rPr>
        <w:t>Skrmetti</w:t>
      </w:r>
      <w:proofErr w:type="spellEnd"/>
      <w:r>
        <w:rPr>
          <w:lang w:eastAsia="x-none"/>
        </w:rPr>
        <w:t xml:space="preserve">, </w:t>
      </w:r>
      <w:r>
        <w:rPr>
          <w:lang w:eastAsia="x-none"/>
        </w:rPr>
        <w:lastRenderedPageBreak/>
        <w:t xml:space="preserve">145 </w:t>
      </w:r>
      <w:proofErr w:type="spellStart"/>
      <w:r>
        <w:rPr>
          <w:lang w:eastAsia="x-none"/>
        </w:rPr>
        <w:t>S.Ct</w:t>
      </w:r>
      <w:proofErr w:type="spellEnd"/>
      <w:r>
        <w:rPr>
          <w:lang w:eastAsia="x-none"/>
        </w:rPr>
        <w:t xml:space="preserve">. 1816 (2025), </w:t>
      </w:r>
      <w:r w:rsidR="006D5CCE">
        <w:rPr>
          <w:lang w:eastAsia="x-none"/>
        </w:rPr>
        <w:t xml:space="preserve">reiterated </w:t>
      </w:r>
      <w:r>
        <w:rPr>
          <w:lang w:eastAsia="x-none"/>
        </w:rPr>
        <w:t xml:space="preserve">that judges must provide “staunch protection” to “statutory interpretation decisions”—even when they themselves dissent from those precedents when they are originally decided, </w:t>
      </w:r>
      <w:r>
        <w:rPr>
          <w:i/>
          <w:iCs/>
          <w:lang w:eastAsia="x-none"/>
        </w:rPr>
        <w:t xml:space="preserve">id. </w:t>
      </w:r>
      <w:r>
        <w:rPr>
          <w:lang w:eastAsia="x-none"/>
        </w:rPr>
        <w:t>at 1859 (Alito, J., concurring).</w:t>
      </w:r>
    </w:p>
    <w:p w14:paraId="30396550" w14:textId="0C84F2D4" w:rsidR="00510038" w:rsidRDefault="000A2491" w:rsidP="0072484D">
      <w:pPr>
        <w:pStyle w:val="Body"/>
        <w:rPr>
          <w:lang w:eastAsia="x-none"/>
        </w:rPr>
      </w:pPr>
      <w:r>
        <w:rPr>
          <w:lang w:eastAsia="x-none"/>
        </w:rPr>
        <w:t xml:space="preserve"> </w:t>
      </w:r>
      <w:r w:rsidR="0072484D">
        <w:rPr>
          <w:lang w:eastAsia="x-none"/>
        </w:rPr>
        <w:t>Congress has revisited the relatively compact Tucker Act</w:t>
      </w:r>
      <w:r w:rsidR="001A6574">
        <w:rPr>
          <w:lang w:eastAsia="x-none"/>
        </w:rPr>
        <w:t xml:space="preserve">, </w:t>
      </w:r>
      <w:r w:rsidR="001A6574" w:rsidRPr="00533B26">
        <w:rPr>
          <w:lang w:eastAsia="x-none"/>
        </w:rPr>
        <w:t>28 U.S.C. §</w:t>
      </w:r>
      <w:r w:rsidR="00510038">
        <w:rPr>
          <w:lang w:eastAsia="x-none"/>
        </w:rPr>
        <w:t> </w:t>
      </w:r>
      <w:r w:rsidR="001A6574" w:rsidRPr="00533B26">
        <w:rPr>
          <w:lang w:eastAsia="x-none"/>
        </w:rPr>
        <w:t>1491</w:t>
      </w:r>
      <w:r w:rsidR="001A6574">
        <w:rPr>
          <w:lang w:eastAsia="x-none"/>
        </w:rPr>
        <w:t>,</w:t>
      </w:r>
      <w:r w:rsidR="0072484D">
        <w:rPr>
          <w:lang w:eastAsia="x-none"/>
        </w:rPr>
        <w:t xml:space="preserve"> no fewer than seven times since </w:t>
      </w:r>
      <w:r w:rsidR="0072484D">
        <w:rPr>
          <w:i/>
          <w:iCs/>
          <w:lang w:eastAsia="x-none"/>
        </w:rPr>
        <w:t xml:space="preserve">Bowen </w:t>
      </w:r>
      <w:r w:rsidR="0072484D">
        <w:rPr>
          <w:lang w:eastAsia="x-none"/>
        </w:rPr>
        <w:t xml:space="preserve">was decided and has not seen fit to alter, amend, or override the Supreme Court’s authoritative interpretation of its interaction with the APA in </w:t>
      </w:r>
      <w:r w:rsidR="0072484D">
        <w:rPr>
          <w:i/>
          <w:iCs/>
          <w:lang w:eastAsia="x-none"/>
        </w:rPr>
        <w:t>Bowen</w:t>
      </w:r>
      <w:r w:rsidR="001A6574">
        <w:rPr>
          <w:lang w:eastAsia="x-none"/>
        </w:rPr>
        <w:t>,</w:t>
      </w:r>
      <w:r>
        <w:rPr>
          <w:lang w:eastAsia="x-none"/>
        </w:rPr>
        <w:t xml:space="preserve"> </w:t>
      </w:r>
      <w:r w:rsidR="001A6574">
        <w:rPr>
          <w:i/>
          <w:iCs/>
          <w:lang w:eastAsia="x-none"/>
        </w:rPr>
        <w:t xml:space="preserve">see </w:t>
      </w:r>
      <w:r w:rsidR="0072484D" w:rsidRPr="00533B26">
        <w:rPr>
          <w:lang w:eastAsia="x-none"/>
        </w:rPr>
        <w:t>Pub.</w:t>
      </w:r>
      <w:r w:rsidR="0072484D">
        <w:rPr>
          <w:lang w:eastAsia="x-none"/>
        </w:rPr>
        <w:t xml:space="preserve"> </w:t>
      </w:r>
      <w:r w:rsidR="0072484D" w:rsidRPr="00533B26">
        <w:rPr>
          <w:lang w:eastAsia="x-none"/>
        </w:rPr>
        <w:t>L. 102-572, Title IX, §§</w:t>
      </w:r>
      <w:r w:rsidR="001A6574">
        <w:rPr>
          <w:lang w:eastAsia="x-none"/>
        </w:rPr>
        <w:t> </w:t>
      </w:r>
      <w:r w:rsidR="0072484D" w:rsidRPr="00533B26">
        <w:rPr>
          <w:lang w:eastAsia="x-none"/>
        </w:rPr>
        <w:t>902(a), 907(b)(1), Oct. 29, 1992, 106 Stat. 4516, 4519; Pub.</w:t>
      </w:r>
      <w:r w:rsidR="0072484D">
        <w:rPr>
          <w:lang w:eastAsia="x-none"/>
        </w:rPr>
        <w:t xml:space="preserve"> </w:t>
      </w:r>
      <w:r w:rsidR="0072484D" w:rsidRPr="00533B26">
        <w:rPr>
          <w:lang w:eastAsia="x-none"/>
        </w:rPr>
        <w:t>L. 104-320, § 12(a), Oct. 19, 1996, 110 Stat. 3874; Pub.</w:t>
      </w:r>
      <w:r w:rsidR="0072484D">
        <w:rPr>
          <w:lang w:eastAsia="x-none"/>
        </w:rPr>
        <w:t xml:space="preserve"> </w:t>
      </w:r>
      <w:r w:rsidR="0072484D" w:rsidRPr="00533B26">
        <w:rPr>
          <w:lang w:eastAsia="x-none"/>
        </w:rPr>
        <w:t>L. 110-161, Div. D, Title VII, §</w:t>
      </w:r>
      <w:r w:rsidR="009A655F">
        <w:rPr>
          <w:lang w:eastAsia="x-none"/>
        </w:rPr>
        <w:t> </w:t>
      </w:r>
      <w:r w:rsidR="0072484D" w:rsidRPr="00533B26">
        <w:rPr>
          <w:lang w:eastAsia="x-none"/>
        </w:rPr>
        <w:t>739(c)(2), Dec. 26, 2007, 121 Stat. 2031; Pub.</w:t>
      </w:r>
      <w:r w:rsidR="0072484D">
        <w:rPr>
          <w:lang w:eastAsia="x-none"/>
        </w:rPr>
        <w:t xml:space="preserve"> </w:t>
      </w:r>
      <w:r w:rsidR="0072484D" w:rsidRPr="00533B26">
        <w:rPr>
          <w:lang w:eastAsia="x-none"/>
        </w:rPr>
        <w:t>L. 110-181, Div. A, Title III, § 326(c), Jan. 28, 2008, 122 Stat. 63; Pub.</w:t>
      </w:r>
      <w:r w:rsidR="0072484D">
        <w:rPr>
          <w:lang w:eastAsia="x-none"/>
        </w:rPr>
        <w:t xml:space="preserve"> </w:t>
      </w:r>
      <w:r w:rsidR="0072484D" w:rsidRPr="00533B26">
        <w:rPr>
          <w:lang w:eastAsia="x-none"/>
        </w:rPr>
        <w:t>L. 110-417, [Div. A], Title X, § 1061(d), Oct. 14, 2008, 122 Stat. 4613; Pub.</w:t>
      </w:r>
      <w:r w:rsidR="0072484D">
        <w:rPr>
          <w:lang w:eastAsia="x-none"/>
        </w:rPr>
        <w:t xml:space="preserve"> </w:t>
      </w:r>
      <w:r w:rsidR="0072484D" w:rsidRPr="00533B26">
        <w:rPr>
          <w:lang w:eastAsia="x-none"/>
        </w:rPr>
        <w:t>L. 111-350, §</w:t>
      </w:r>
      <w:r w:rsidR="001A6574">
        <w:rPr>
          <w:lang w:eastAsia="x-none"/>
        </w:rPr>
        <w:t> </w:t>
      </w:r>
      <w:r w:rsidR="0072484D" w:rsidRPr="00533B26">
        <w:rPr>
          <w:lang w:eastAsia="x-none"/>
        </w:rPr>
        <w:t>5(g)(7), Jan. 4, 2011, 124 Stat. 3848; Pub.</w:t>
      </w:r>
      <w:r w:rsidR="0072484D">
        <w:rPr>
          <w:lang w:eastAsia="x-none"/>
        </w:rPr>
        <w:t xml:space="preserve"> </w:t>
      </w:r>
      <w:r w:rsidR="0072484D" w:rsidRPr="00533B26">
        <w:rPr>
          <w:lang w:eastAsia="x-none"/>
        </w:rPr>
        <w:t>L. 112-81, Div. A, Title VIII, §</w:t>
      </w:r>
      <w:r w:rsidR="001A6574">
        <w:rPr>
          <w:lang w:eastAsia="x-none"/>
        </w:rPr>
        <w:t> </w:t>
      </w:r>
      <w:r w:rsidR="0072484D" w:rsidRPr="00533B26">
        <w:rPr>
          <w:lang w:eastAsia="x-none"/>
        </w:rPr>
        <w:t>861(a), Dec. 31, 2011, 125 Stat. 1521.</w:t>
      </w:r>
    </w:p>
    <w:p w14:paraId="43A07828" w14:textId="2EF3B9A3" w:rsidR="006F42A7" w:rsidRPr="003578CC" w:rsidRDefault="0072484D" w:rsidP="003578CC">
      <w:pPr>
        <w:pStyle w:val="Body"/>
        <w:rPr>
          <w:i/>
          <w:iCs/>
          <w:lang w:eastAsia="x-none"/>
        </w:rPr>
      </w:pPr>
      <w:r>
        <w:rPr>
          <w:lang w:eastAsia="x-none"/>
        </w:rPr>
        <w:t xml:space="preserve">Accordingly, the reasons supporting super-strong stare decisis for statutory cases—that Congress is free to and capable of correcting judicial errors—are fully </w:t>
      </w:r>
      <w:r w:rsidR="00510038">
        <w:rPr>
          <w:lang w:eastAsia="x-none"/>
        </w:rPr>
        <w:t xml:space="preserve">applicable </w:t>
      </w:r>
      <w:r>
        <w:rPr>
          <w:lang w:eastAsia="x-none"/>
        </w:rPr>
        <w:t>here.</w:t>
      </w:r>
      <w:r w:rsidR="00510038" w:rsidRPr="00510038">
        <w:rPr>
          <w:i/>
          <w:iCs/>
          <w:lang w:eastAsia="x-none"/>
        </w:rPr>
        <w:t xml:space="preserve"> </w:t>
      </w:r>
      <w:r w:rsidR="00510038">
        <w:rPr>
          <w:i/>
          <w:iCs/>
          <w:lang w:eastAsia="x-none"/>
        </w:rPr>
        <w:t xml:space="preserve">Bowen </w:t>
      </w:r>
      <w:r w:rsidR="00510038">
        <w:rPr>
          <w:lang w:eastAsia="x-none"/>
        </w:rPr>
        <w:t>must be accorded super-strong stare decisis.</w:t>
      </w:r>
      <w:r w:rsidR="00E34BDC">
        <w:rPr>
          <w:lang w:eastAsia="x-none"/>
        </w:rPr>
        <w:t xml:space="preserve"> </w:t>
      </w:r>
      <w:r w:rsidR="00413103" w:rsidRPr="00E31490">
        <w:rPr>
          <w:i/>
          <w:iCs/>
          <w:lang w:eastAsia="x-none"/>
        </w:rPr>
        <w:t>See</w:t>
      </w:r>
      <w:r w:rsidR="006D5CCE">
        <w:rPr>
          <w:i/>
          <w:iCs/>
          <w:lang w:eastAsia="x-none"/>
        </w:rPr>
        <w:t>, e.g.</w:t>
      </w:r>
      <w:r w:rsidR="006D5CCE">
        <w:rPr>
          <w:lang w:eastAsia="x-none"/>
        </w:rPr>
        <w:t xml:space="preserve">, </w:t>
      </w:r>
      <w:r w:rsidR="006D5CCE" w:rsidRPr="001A1AB0">
        <w:rPr>
          <w:i/>
          <w:iCs/>
          <w:lang w:eastAsia="x-none"/>
        </w:rPr>
        <w:t xml:space="preserve">Halliburton Co. v. Erica P. John </w:t>
      </w:r>
      <w:r w:rsidR="006D5CCE" w:rsidRPr="001A1AB0">
        <w:rPr>
          <w:i/>
          <w:iCs/>
          <w:lang w:eastAsia="x-none"/>
        </w:rPr>
        <w:lastRenderedPageBreak/>
        <w:t>Fund, Inc.</w:t>
      </w:r>
      <w:r w:rsidR="006D5CCE" w:rsidRPr="001A1AB0">
        <w:rPr>
          <w:lang w:eastAsia="x-none"/>
        </w:rPr>
        <w:t xml:space="preserve">, 573 U.S. </w:t>
      </w:r>
      <w:r w:rsidR="006D5CCE">
        <w:rPr>
          <w:lang w:eastAsia="x-none"/>
        </w:rPr>
        <w:t>at</w:t>
      </w:r>
      <w:r w:rsidR="006D5CCE" w:rsidRPr="001A1AB0">
        <w:rPr>
          <w:lang w:eastAsia="x-none"/>
        </w:rPr>
        <w:t xml:space="preserve"> 274</w:t>
      </w:r>
      <w:r w:rsidR="006D5CCE">
        <w:rPr>
          <w:lang w:eastAsia="x-none"/>
        </w:rPr>
        <w:t>;</w:t>
      </w:r>
      <w:r w:rsidR="00413103" w:rsidRPr="00E31490">
        <w:rPr>
          <w:i/>
          <w:iCs/>
          <w:lang w:eastAsia="x-none"/>
        </w:rPr>
        <w:t xml:space="preserve"> </w:t>
      </w:r>
      <w:r w:rsidR="003578CC" w:rsidRPr="00E31490">
        <w:rPr>
          <w:lang w:eastAsia="x-none"/>
        </w:rPr>
        <w:t xml:space="preserve">Amy Coney </w:t>
      </w:r>
      <w:bookmarkStart w:id="25" w:name="_GoBack"/>
      <w:r w:rsidR="003578CC" w:rsidRPr="00E31490">
        <w:rPr>
          <w:lang w:eastAsia="x-none"/>
        </w:rPr>
        <w:t>Barrett</w:t>
      </w:r>
      <w:bookmarkEnd w:id="25"/>
      <w:r w:rsidR="003578CC" w:rsidRPr="00E31490">
        <w:rPr>
          <w:lang w:eastAsia="x-none"/>
        </w:rPr>
        <w:t xml:space="preserve">, </w:t>
      </w:r>
      <w:r w:rsidR="003578CC" w:rsidRPr="00E31490">
        <w:rPr>
          <w:i/>
          <w:iCs/>
          <w:lang w:eastAsia="x-none"/>
        </w:rPr>
        <w:t>Precedent and Jurisprudential Disagreement</w:t>
      </w:r>
      <w:r w:rsidR="003578CC" w:rsidRPr="00E31490">
        <w:rPr>
          <w:lang w:eastAsia="x-none"/>
        </w:rPr>
        <w:t xml:space="preserve">, 91 </w:t>
      </w:r>
      <w:r w:rsidR="003578CC" w:rsidRPr="00E31490">
        <w:rPr>
          <w:smallCaps/>
          <w:lang w:eastAsia="x-none"/>
        </w:rPr>
        <w:t>Tex. L. Rev</w:t>
      </w:r>
      <w:r w:rsidR="003578CC" w:rsidRPr="00E31490">
        <w:rPr>
          <w:lang w:eastAsia="x-none"/>
        </w:rPr>
        <w:t>. 1711, 1713 (2013)</w:t>
      </w:r>
      <w:r w:rsidR="003578CC">
        <w:rPr>
          <w:lang w:eastAsia="x-none"/>
        </w:rPr>
        <w:t xml:space="preserve"> </w:t>
      </w:r>
      <w:r w:rsidR="003578CC" w:rsidRPr="00E31490">
        <w:rPr>
          <w:lang w:eastAsia="x-none"/>
        </w:rPr>
        <w:t>(“Statutory precedents receive ‘super-strong’ stare decisis effect.”)</w:t>
      </w:r>
      <w:r w:rsidR="0047542D" w:rsidRPr="00E31490">
        <w:rPr>
          <w:lang w:eastAsia="x-none"/>
        </w:rPr>
        <w:t>.</w:t>
      </w:r>
      <w:r w:rsidR="003578CC">
        <w:rPr>
          <w:lang w:eastAsia="x-none"/>
        </w:rPr>
        <w:t xml:space="preserve">  </w:t>
      </w:r>
      <w:r w:rsidR="00E34BDC" w:rsidRPr="00E34BDC">
        <w:rPr>
          <w:lang w:eastAsia="x-none"/>
        </w:rPr>
        <w:t xml:space="preserve">Anything less </w:t>
      </w:r>
      <w:r w:rsidR="00CC247D">
        <w:rPr>
          <w:lang w:eastAsia="x-none"/>
        </w:rPr>
        <w:t>would fall</w:t>
      </w:r>
      <w:r w:rsidR="00E34BDC" w:rsidRPr="00E34BDC">
        <w:rPr>
          <w:lang w:eastAsia="x-none"/>
        </w:rPr>
        <w:t xml:space="preserve"> far short of the “special justification” the Court demands before overturning statutory precedent.</w:t>
      </w:r>
      <w:r w:rsidR="00E34BDC">
        <w:rPr>
          <w:lang w:eastAsia="x-none"/>
        </w:rPr>
        <w:t xml:space="preserve"> </w:t>
      </w:r>
      <w:r w:rsidR="00E34BDC">
        <w:rPr>
          <w:i/>
          <w:iCs/>
          <w:lang w:eastAsia="x-none"/>
        </w:rPr>
        <w:t>Loper Bright</w:t>
      </w:r>
      <w:r w:rsidR="00E34BDC">
        <w:rPr>
          <w:lang w:eastAsia="x-none"/>
        </w:rPr>
        <w:t>, 603 U.S. at 412.</w:t>
      </w:r>
    </w:p>
    <w:p w14:paraId="66557B73" w14:textId="64AC61E7" w:rsidR="0096083F" w:rsidRPr="0096083F" w:rsidRDefault="0074289F" w:rsidP="0096083F">
      <w:pPr>
        <w:pStyle w:val="Heading1"/>
      </w:pPr>
      <w:bookmarkStart w:id="26" w:name="_Toc202911626"/>
      <w:r>
        <w:t xml:space="preserve">The </w:t>
      </w:r>
      <w:r w:rsidRPr="0074289F">
        <w:rPr>
          <w:i/>
          <w:iCs/>
        </w:rPr>
        <w:t>Department of Education</w:t>
      </w:r>
      <w:r>
        <w:t xml:space="preserve"> per curiam stay order cannot have overruled </w:t>
      </w:r>
      <w:r w:rsidRPr="0074289F">
        <w:rPr>
          <w:i/>
          <w:iCs/>
        </w:rPr>
        <w:t>Bowen</w:t>
      </w:r>
      <w:r>
        <w:t>, and was based on unique circumstances not present here.</w:t>
      </w:r>
      <w:bookmarkEnd w:id="26"/>
    </w:p>
    <w:p w14:paraId="7A223C1A" w14:textId="1E2CFAC4" w:rsidR="0096083F" w:rsidRDefault="0096083F" w:rsidP="009807A1">
      <w:pPr>
        <w:pStyle w:val="Body"/>
        <w:rPr>
          <w:lang w:val="x-none" w:eastAsia="x-none"/>
        </w:rPr>
      </w:pPr>
      <w:r>
        <w:rPr>
          <w:lang w:val="x-none" w:eastAsia="x-none"/>
        </w:rPr>
        <w:t xml:space="preserve">Rather than offer any “special justification” for departing from </w:t>
      </w:r>
      <w:r w:rsidRPr="00CE2FEF">
        <w:rPr>
          <w:i/>
          <w:iCs/>
          <w:lang w:val="x-none" w:eastAsia="x-none"/>
        </w:rPr>
        <w:t>Bowen</w:t>
      </w:r>
      <w:r>
        <w:rPr>
          <w:lang w:val="x-none" w:eastAsia="x-none"/>
        </w:rPr>
        <w:t>,</w:t>
      </w:r>
      <w:r w:rsidR="003B32B7">
        <w:rPr>
          <w:lang w:val="x-none" w:eastAsia="x-none"/>
        </w:rPr>
        <w:t xml:space="preserve"> </w:t>
      </w:r>
      <w:r w:rsidR="008530C1">
        <w:rPr>
          <w:i/>
          <w:iCs/>
          <w:lang w:eastAsia="x-none"/>
        </w:rPr>
        <w:t>Loper Bright</w:t>
      </w:r>
      <w:r w:rsidR="008530C1">
        <w:rPr>
          <w:lang w:eastAsia="x-none"/>
        </w:rPr>
        <w:t>, 603 U.S. at 412</w:t>
      </w:r>
      <w:r w:rsidR="003B32B7">
        <w:rPr>
          <w:lang w:val="x-none" w:eastAsia="x-none"/>
        </w:rPr>
        <w:t>,</w:t>
      </w:r>
      <w:r>
        <w:rPr>
          <w:lang w:val="x-none" w:eastAsia="x-none"/>
        </w:rPr>
        <w:t xml:space="preserve"> the Government relies</w:t>
      </w:r>
      <w:r w:rsidRPr="007B0ADD">
        <w:rPr>
          <w:lang w:val="x-none" w:eastAsia="x-none"/>
        </w:rPr>
        <w:t xml:space="preserve"> primarily on the </w:t>
      </w:r>
      <w:r>
        <w:rPr>
          <w:lang w:val="x-none" w:eastAsia="x-none"/>
        </w:rPr>
        <w:t xml:space="preserve">emergency </w:t>
      </w:r>
      <w:r w:rsidRPr="007B0ADD">
        <w:rPr>
          <w:lang w:val="x-none" w:eastAsia="x-none"/>
        </w:rPr>
        <w:t>stay</w:t>
      </w:r>
      <w:r>
        <w:rPr>
          <w:lang w:val="x-none" w:eastAsia="x-none"/>
        </w:rPr>
        <w:t xml:space="preserve"> order</w:t>
      </w:r>
      <w:r w:rsidRPr="007B0ADD">
        <w:rPr>
          <w:lang w:val="x-none" w:eastAsia="x-none"/>
        </w:rPr>
        <w:t xml:space="preserve"> in </w:t>
      </w:r>
      <w:r w:rsidRPr="007B0ADD">
        <w:rPr>
          <w:i/>
          <w:iCs/>
          <w:lang w:val="x-none" w:eastAsia="x-none"/>
        </w:rPr>
        <w:t>Department of Education v. California</w:t>
      </w:r>
      <w:r w:rsidRPr="007B0ADD">
        <w:rPr>
          <w:lang w:val="x-none" w:eastAsia="x-none"/>
        </w:rPr>
        <w:t>, 145 S. Ct. 966 (2025) (</w:t>
      </w:r>
      <w:r>
        <w:rPr>
          <w:lang w:val="x-none" w:eastAsia="x-none"/>
        </w:rPr>
        <w:t>per curiam</w:t>
      </w:r>
      <w:r w:rsidRPr="007B0ADD">
        <w:rPr>
          <w:lang w:val="x-none" w:eastAsia="x-none"/>
        </w:rPr>
        <w:t>)</w:t>
      </w:r>
      <w:r>
        <w:rPr>
          <w:lang w:val="x-none" w:eastAsia="x-none"/>
        </w:rPr>
        <w:t xml:space="preserve"> (</w:t>
      </w:r>
      <w:r w:rsidRPr="00C73784">
        <w:rPr>
          <w:i/>
          <w:iCs/>
          <w:lang w:val="x-none" w:eastAsia="x-none"/>
        </w:rPr>
        <w:t>DOE</w:t>
      </w:r>
      <w:r>
        <w:rPr>
          <w:lang w:val="x-none" w:eastAsia="x-none"/>
        </w:rPr>
        <w:t>)</w:t>
      </w:r>
      <w:r w:rsidRPr="007B0ADD">
        <w:rPr>
          <w:lang w:val="x-none" w:eastAsia="x-none"/>
        </w:rPr>
        <w:t xml:space="preserve">, to argue that </w:t>
      </w:r>
      <w:r w:rsidR="00FB60F0">
        <w:rPr>
          <w:lang w:val="x-none" w:eastAsia="x-none"/>
        </w:rPr>
        <w:t>the court lacks</w:t>
      </w:r>
      <w:r w:rsidRPr="007B0ADD">
        <w:rPr>
          <w:lang w:val="x-none" w:eastAsia="x-none"/>
        </w:rPr>
        <w:t xml:space="preserve"> jurisdiction here. </w:t>
      </w:r>
      <w:r>
        <w:rPr>
          <w:lang w:val="x-none" w:eastAsia="x-none"/>
        </w:rPr>
        <w:t>But</w:t>
      </w:r>
      <w:r w:rsidR="00413C0B" w:rsidRPr="00413C0B">
        <w:rPr>
          <w:lang w:val="x-none" w:eastAsia="x-none"/>
        </w:rPr>
        <w:t xml:space="preserve"> </w:t>
      </w:r>
      <w:r w:rsidR="00413C0B" w:rsidRPr="00AF6992">
        <w:rPr>
          <w:i/>
          <w:iCs/>
          <w:lang w:val="x-none" w:eastAsia="x-none"/>
        </w:rPr>
        <w:t>DOE</w:t>
      </w:r>
      <w:r w:rsidR="00413C0B">
        <w:rPr>
          <w:lang w:val="x-none" w:eastAsia="x-none"/>
        </w:rPr>
        <w:t xml:space="preserve"> did not purport to overrule </w:t>
      </w:r>
      <w:r w:rsidR="00413C0B" w:rsidRPr="00AF6992">
        <w:rPr>
          <w:i/>
          <w:iCs/>
          <w:lang w:val="x-none" w:eastAsia="x-none"/>
        </w:rPr>
        <w:t>Bowen</w:t>
      </w:r>
      <w:r w:rsidR="00AF6992">
        <w:rPr>
          <w:lang w:val="x-none" w:eastAsia="x-none"/>
        </w:rPr>
        <w:t>—</w:t>
      </w:r>
      <w:r w:rsidR="00413C0B">
        <w:rPr>
          <w:lang w:val="x-none" w:eastAsia="x-none"/>
        </w:rPr>
        <w:t>nor could it have</w:t>
      </w:r>
      <w:r w:rsidR="009807A1">
        <w:rPr>
          <w:lang w:val="x-none" w:eastAsia="x-none"/>
        </w:rPr>
        <w:t>. As we explain</w:t>
      </w:r>
      <w:r w:rsidR="008530C1">
        <w:rPr>
          <w:lang w:val="x-none" w:eastAsia="x-none"/>
        </w:rPr>
        <w:t>ed</w:t>
      </w:r>
      <w:r w:rsidR="009807A1">
        <w:rPr>
          <w:lang w:val="x-none" w:eastAsia="x-none"/>
        </w:rPr>
        <w:t xml:space="preserve"> </w:t>
      </w:r>
      <w:r w:rsidR="008530C1">
        <w:rPr>
          <w:lang w:val="x-none" w:eastAsia="x-none"/>
        </w:rPr>
        <w:t>(</w:t>
      </w:r>
      <w:r w:rsidR="008530C1" w:rsidRPr="008530C1">
        <w:rPr>
          <w:i/>
          <w:iCs/>
          <w:lang w:val="x-none" w:eastAsia="x-none"/>
        </w:rPr>
        <w:t>supra</w:t>
      </w:r>
      <w:r w:rsidR="00DE42CC">
        <w:rPr>
          <w:lang w:val="x-none" w:eastAsia="x-none"/>
        </w:rPr>
        <w:t>, Argument</w:t>
      </w:r>
      <w:r w:rsidR="008530C1">
        <w:rPr>
          <w:lang w:val="x-none" w:eastAsia="x-none"/>
        </w:rPr>
        <w:t> I)</w:t>
      </w:r>
      <w:r w:rsidR="009807A1">
        <w:rPr>
          <w:lang w:val="x-none" w:eastAsia="x-none"/>
        </w:rPr>
        <w:t xml:space="preserve">, </w:t>
      </w:r>
      <w:r w:rsidR="00413C0B" w:rsidRPr="00AF6992">
        <w:rPr>
          <w:i/>
          <w:iCs/>
          <w:lang w:val="x-none" w:eastAsia="x-none"/>
        </w:rPr>
        <w:t>Bowen</w:t>
      </w:r>
      <w:r w:rsidR="00413C0B">
        <w:rPr>
          <w:lang w:val="x-none" w:eastAsia="x-none"/>
        </w:rPr>
        <w:t xml:space="preserve"> is </w:t>
      </w:r>
      <w:r w:rsidR="00AF6992">
        <w:rPr>
          <w:lang w:val="x-none" w:eastAsia="x-none"/>
        </w:rPr>
        <w:t xml:space="preserve">entitled to </w:t>
      </w:r>
      <w:r w:rsidR="00413C0B">
        <w:rPr>
          <w:lang w:val="x-none" w:eastAsia="x-none"/>
        </w:rPr>
        <w:t xml:space="preserve">super-strong </w:t>
      </w:r>
      <w:r w:rsidR="00AF6992">
        <w:rPr>
          <w:lang w:val="x-none" w:eastAsia="x-none"/>
        </w:rPr>
        <w:t>statutory stare decisis</w:t>
      </w:r>
      <w:r w:rsidR="009807A1">
        <w:rPr>
          <w:lang w:val="x-none" w:eastAsia="x-none"/>
        </w:rPr>
        <w:t xml:space="preserve">; </w:t>
      </w:r>
      <w:r w:rsidR="00413C0B" w:rsidRPr="00AF6992">
        <w:rPr>
          <w:i/>
          <w:iCs/>
          <w:lang w:val="x-none" w:eastAsia="x-none"/>
        </w:rPr>
        <w:t>DOE</w:t>
      </w:r>
      <w:r w:rsidR="00413C0B">
        <w:rPr>
          <w:lang w:val="x-none" w:eastAsia="x-none"/>
        </w:rPr>
        <w:t xml:space="preserve"> was just a per curiam stay order in a case where the Court has yet to grant certiorari. Even if </w:t>
      </w:r>
      <w:r w:rsidR="00413C0B" w:rsidRPr="00AF6992">
        <w:rPr>
          <w:i/>
          <w:iCs/>
          <w:lang w:val="x-none" w:eastAsia="x-none"/>
        </w:rPr>
        <w:t>DOE</w:t>
      </w:r>
      <w:r w:rsidR="00413C0B">
        <w:rPr>
          <w:lang w:val="x-none" w:eastAsia="x-none"/>
        </w:rPr>
        <w:t xml:space="preserve"> could theoretically </w:t>
      </w:r>
      <w:r w:rsidR="00AF6992">
        <w:rPr>
          <w:lang w:val="x-none" w:eastAsia="x-none"/>
        </w:rPr>
        <w:t>inform</w:t>
      </w:r>
      <w:r w:rsidR="00413C0B">
        <w:rPr>
          <w:lang w:val="x-none" w:eastAsia="x-none"/>
        </w:rPr>
        <w:t xml:space="preserve"> the outcome here, </w:t>
      </w:r>
      <w:r w:rsidR="00AF6992" w:rsidRPr="00AF6992">
        <w:rPr>
          <w:lang w:val="x-none" w:eastAsia="x-none"/>
        </w:rPr>
        <w:t>its reasoning rested on unique, fact-bound circumstances that are not present in this case.</w:t>
      </w:r>
    </w:p>
    <w:p w14:paraId="3DA6A74E" w14:textId="3F68E82E" w:rsidR="007B0ADD" w:rsidRDefault="0096083F" w:rsidP="007B0ADD">
      <w:pPr>
        <w:pStyle w:val="Heading2"/>
      </w:pPr>
      <w:bookmarkStart w:id="27" w:name="_Toc202911627"/>
      <w:r>
        <w:lastRenderedPageBreak/>
        <w:t xml:space="preserve">The Supreme Court did not </w:t>
      </w:r>
      <w:r w:rsidRPr="0096083F">
        <w:rPr>
          <w:i/>
          <w:iCs/>
        </w:rPr>
        <w:t>sub silentio</w:t>
      </w:r>
      <w:r>
        <w:t xml:space="preserve"> overrule </w:t>
      </w:r>
      <w:r w:rsidRPr="0096083F">
        <w:rPr>
          <w:i/>
          <w:iCs/>
        </w:rPr>
        <w:t>Bowen</w:t>
      </w:r>
      <w:r>
        <w:t xml:space="preserve"> through its </w:t>
      </w:r>
      <w:r w:rsidR="0074289F">
        <w:t>per curiam</w:t>
      </w:r>
      <w:r>
        <w:t xml:space="preserve"> emergency stay order in </w:t>
      </w:r>
      <w:r w:rsidRPr="0096083F">
        <w:rPr>
          <w:i/>
          <w:iCs/>
        </w:rPr>
        <w:t>Department of Education</w:t>
      </w:r>
      <w:r>
        <w:t>.</w:t>
      </w:r>
      <w:bookmarkEnd w:id="27"/>
    </w:p>
    <w:p w14:paraId="69A82682" w14:textId="174D3941" w:rsidR="007B0ADD" w:rsidRPr="007B0ADD" w:rsidRDefault="002F3C0F" w:rsidP="00842B3D">
      <w:pPr>
        <w:pStyle w:val="Body"/>
        <w:rPr>
          <w:lang w:val="x-none" w:eastAsia="x-none"/>
        </w:rPr>
      </w:pPr>
      <w:r w:rsidRPr="002F3C0F">
        <w:rPr>
          <w:i/>
          <w:iCs/>
          <w:lang w:val="x-none" w:eastAsia="x-none"/>
        </w:rPr>
        <w:t>DOE</w:t>
      </w:r>
      <w:r w:rsidR="00CC247D">
        <w:rPr>
          <w:i/>
          <w:iCs/>
          <w:lang w:val="x-none" w:eastAsia="x-none"/>
        </w:rPr>
        <w:t xml:space="preserve"> </w:t>
      </w:r>
      <w:r w:rsidR="00BE101F">
        <w:rPr>
          <w:lang w:val="x-none" w:eastAsia="x-none"/>
        </w:rPr>
        <w:t>stayed</w:t>
      </w:r>
      <w:r w:rsidR="006B2BC4">
        <w:rPr>
          <w:lang w:val="x-none" w:eastAsia="x-none"/>
        </w:rPr>
        <w:t xml:space="preserve"> </w:t>
      </w:r>
      <w:r w:rsidR="006B2BC4" w:rsidRPr="002F3C0F">
        <w:rPr>
          <w:lang w:val="x-none" w:eastAsia="x-none"/>
        </w:rPr>
        <w:t xml:space="preserve">a district court order </w:t>
      </w:r>
      <w:r w:rsidR="006B2BC4">
        <w:rPr>
          <w:lang w:val="x-none" w:eastAsia="x-none"/>
        </w:rPr>
        <w:t xml:space="preserve">that required the government </w:t>
      </w:r>
      <w:r w:rsidR="008909DA">
        <w:rPr>
          <w:lang w:val="x-none" w:eastAsia="x-none"/>
        </w:rPr>
        <w:t xml:space="preserve">to </w:t>
      </w:r>
      <w:r w:rsidR="006B2BC4">
        <w:rPr>
          <w:lang w:val="x-none" w:eastAsia="x-none"/>
        </w:rPr>
        <w:t xml:space="preserve">pay out past-due grant funds, which the Court characterized as likely enforcing a contractual obligation to pay money for purposes of the Tucker Act. </w:t>
      </w:r>
      <w:r w:rsidR="00BE101F" w:rsidRPr="007B0ADD">
        <w:rPr>
          <w:lang w:val="x-none" w:eastAsia="x-none"/>
        </w:rPr>
        <w:t>145 S. Ct. 966</w:t>
      </w:r>
      <w:r w:rsidR="00BE101F">
        <w:rPr>
          <w:lang w:val="x-none" w:eastAsia="x-none"/>
        </w:rPr>
        <w:t xml:space="preserve">. </w:t>
      </w:r>
      <w:r w:rsidR="008909DA" w:rsidRPr="008909DA">
        <w:rPr>
          <w:i/>
          <w:iCs/>
          <w:lang w:val="x-none" w:eastAsia="x-none"/>
        </w:rPr>
        <w:t>DOE</w:t>
      </w:r>
      <w:r w:rsidR="00CC247D">
        <w:rPr>
          <w:lang w:val="x-none" w:eastAsia="x-none"/>
        </w:rPr>
        <w:t xml:space="preserve"> cannot, and did not purport to, </w:t>
      </w:r>
      <w:r w:rsidR="00D273FD">
        <w:rPr>
          <w:lang w:val="x-none" w:eastAsia="x-none"/>
        </w:rPr>
        <w:t xml:space="preserve">displace </w:t>
      </w:r>
      <w:r w:rsidRPr="002F3C0F">
        <w:rPr>
          <w:i/>
          <w:iCs/>
          <w:lang w:val="x-none" w:eastAsia="x-none"/>
        </w:rPr>
        <w:t>Bowen</w:t>
      </w:r>
      <w:r w:rsidR="007B0ADD" w:rsidRPr="007B0ADD">
        <w:rPr>
          <w:lang w:val="x-none" w:eastAsia="x-none"/>
        </w:rPr>
        <w:t xml:space="preserve"> for at least </w:t>
      </w:r>
      <w:r w:rsidR="00905326" w:rsidRPr="00C3477D">
        <w:rPr>
          <w:lang w:val="x-none" w:eastAsia="x-none"/>
        </w:rPr>
        <w:t>four</w:t>
      </w:r>
      <w:r w:rsidR="007B0ADD" w:rsidRPr="007B0ADD">
        <w:rPr>
          <w:lang w:val="x-none" w:eastAsia="x-none"/>
        </w:rPr>
        <w:t xml:space="preserve"> reasons</w:t>
      </w:r>
      <w:r w:rsidR="007B0ADD">
        <w:rPr>
          <w:lang w:val="x-none" w:eastAsia="x-none"/>
        </w:rPr>
        <w:t>.</w:t>
      </w:r>
    </w:p>
    <w:p w14:paraId="34A4CD4A" w14:textId="12CB19CC" w:rsidR="007B0ADD" w:rsidRPr="00904A2C" w:rsidRDefault="005A53CE" w:rsidP="00567556">
      <w:pPr>
        <w:pStyle w:val="Body"/>
      </w:pPr>
      <w:r w:rsidRPr="002F7732">
        <w:t>First</w:t>
      </w:r>
      <w:r w:rsidR="00A27CF3">
        <w:t xml:space="preserve">, </w:t>
      </w:r>
      <w:r w:rsidR="00A27CF3" w:rsidRPr="00A27CF3">
        <w:rPr>
          <w:i/>
          <w:iCs/>
        </w:rPr>
        <w:t>DOE</w:t>
      </w:r>
      <w:r w:rsidR="00A27CF3">
        <w:t xml:space="preserve"> just ordered a stay pending appeal—</w:t>
      </w:r>
      <w:r w:rsidR="00C90A3C">
        <w:t xml:space="preserve">it was </w:t>
      </w:r>
      <w:r w:rsidR="00A27CF3">
        <w:t xml:space="preserve">not a decision on the merits. </w:t>
      </w:r>
      <w:r w:rsidR="00904A2C" w:rsidRPr="007B0ADD">
        <w:rPr>
          <w:i/>
          <w:iCs/>
        </w:rPr>
        <w:t xml:space="preserve">See </w:t>
      </w:r>
      <w:proofErr w:type="spellStart"/>
      <w:r w:rsidR="00904A2C" w:rsidRPr="007B0ADD">
        <w:rPr>
          <w:i/>
          <w:iCs/>
        </w:rPr>
        <w:t>Nken</w:t>
      </w:r>
      <w:proofErr w:type="spellEnd"/>
      <w:r w:rsidR="00904A2C" w:rsidRPr="007B0ADD">
        <w:rPr>
          <w:i/>
          <w:iCs/>
        </w:rPr>
        <w:t xml:space="preserve"> v. Holder</w:t>
      </w:r>
      <w:r w:rsidR="00904A2C">
        <w:t>, 556 U.S. 418, 432 (2009).</w:t>
      </w:r>
      <w:r w:rsidR="007B0ADD">
        <w:t xml:space="preserve"> </w:t>
      </w:r>
      <w:r w:rsidR="00A27CF3">
        <w:t>A stay pending appeal</w:t>
      </w:r>
      <w:r w:rsidR="007B0ADD">
        <w:t xml:space="preserve"> reflects only a predictive assessment of likelihood of success and equities</w:t>
      </w:r>
      <w:r w:rsidR="009807A1">
        <w:t>.</w:t>
      </w:r>
      <w:r w:rsidR="007B0ADD">
        <w:t xml:space="preserve"> </w:t>
      </w:r>
      <w:r w:rsidR="00904A2C">
        <w:t>“</w:t>
      </w:r>
      <w:r w:rsidR="00904A2C" w:rsidRPr="00904A2C">
        <w:t>The whole idea is to hold the matter under review in abeyance because the appellate court lacks sufficient time to decide the merits.</w:t>
      </w:r>
      <w:r w:rsidR="00904A2C">
        <w:t xml:space="preserve">” </w:t>
      </w:r>
      <w:r w:rsidR="00904A2C" w:rsidRPr="00904A2C">
        <w:rPr>
          <w:i/>
          <w:iCs/>
        </w:rPr>
        <w:t>Id.</w:t>
      </w:r>
      <w:r w:rsidR="00904A2C">
        <w:t xml:space="preserve"> If a stay pending appeal were afforded precedential effect, it would “</w:t>
      </w:r>
      <w:r w:rsidR="00904A2C" w:rsidRPr="00904A2C">
        <w:t>not so much preserve the availability of subsequent review as render it redundant</w:t>
      </w:r>
      <w:r w:rsidR="00904A2C">
        <w:t xml:space="preserve">.” </w:t>
      </w:r>
      <w:r w:rsidR="00904A2C" w:rsidRPr="00904A2C">
        <w:rPr>
          <w:i/>
          <w:iCs/>
        </w:rPr>
        <w:t>Id.</w:t>
      </w:r>
    </w:p>
    <w:p w14:paraId="4BDC7C23" w14:textId="010A8819" w:rsidR="005A53CE" w:rsidRDefault="005A53CE" w:rsidP="005A53CE">
      <w:pPr>
        <w:pStyle w:val="Body"/>
      </w:pPr>
      <w:r w:rsidRPr="002F7732">
        <w:t>Second</w:t>
      </w:r>
      <w:r>
        <w:t>,</w:t>
      </w:r>
      <w:r w:rsidRPr="005A53CE">
        <w:t xml:space="preserve"> </w:t>
      </w:r>
      <w:r w:rsidR="00C73784">
        <w:t xml:space="preserve">even if </w:t>
      </w:r>
      <w:r w:rsidR="00C73784" w:rsidRPr="00C73784">
        <w:rPr>
          <w:i/>
          <w:iCs/>
        </w:rPr>
        <w:t>DOE</w:t>
      </w:r>
      <w:r w:rsidR="00C73784">
        <w:t xml:space="preserve"> were a decision on the merits (it is not), </w:t>
      </w:r>
      <w:r w:rsidR="00A27CF3">
        <w:t xml:space="preserve">it was a summary action, not a regularly argued merits decision. </w:t>
      </w:r>
      <w:r>
        <w:t>“</w:t>
      </w:r>
      <w:r w:rsidR="00A27CF3">
        <w:t>[S]</w:t>
      </w:r>
      <w:proofErr w:type="spellStart"/>
      <w:r>
        <w:t>ummary</w:t>
      </w:r>
      <w:proofErr w:type="spellEnd"/>
      <w:r>
        <w:t xml:space="preserve"> actions do not have the same authority in </w:t>
      </w:r>
      <w:proofErr w:type="spellStart"/>
      <w:r>
        <w:t>th</w:t>
      </w:r>
      <w:proofErr w:type="spellEnd"/>
      <w:r>
        <w:t xml:space="preserve">[e] [Supreme] Court as do decisions rendered after plenary consideration.” </w:t>
      </w:r>
      <w:r w:rsidRPr="00726555">
        <w:rPr>
          <w:i/>
          <w:iCs/>
        </w:rPr>
        <w:lastRenderedPageBreak/>
        <w:t>Metromedia, Inc. v. City of San Diego</w:t>
      </w:r>
      <w:r>
        <w:t xml:space="preserve">, 453 U.S. 490, 500 (1981); </w:t>
      </w:r>
      <w:r w:rsidR="00A27CF3">
        <w:rPr>
          <w:i/>
          <w:iCs/>
        </w:rPr>
        <w:t>accord</w:t>
      </w:r>
      <w:r w:rsidRPr="005A53CE">
        <w:rPr>
          <w:i/>
          <w:iCs/>
        </w:rPr>
        <w:t>, e.g.</w:t>
      </w:r>
      <w:r>
        <w:t xml:space="preserve">, </w:t>
      </w:r>
      <w:r w:rsidRPr="00657929">
        <w:rPr>
          <w:i/>
          <w:iCs/>
        </w:rPr>
        <w:t>Comptroller of Treasury of Maryland v. Wynne</w:t>
      </w:r>
      <w:r>
        <w:t>, 575 U.S. 542, 559–60 (2015) (</w:t>
      </w:r>
      <w:r w:rsidRPr="00657929">
        <w:rPr>
          <w:i/>
          <w:iCs/>
        </w:rPr>
        <w:t>Wynne</w:t>
      </w:r>
      <w:r>
        <w:t xml:space="preserve">) (citing </w:t>
      </w:r>
      <w:r w:rsidRPr="00FF574D">
        <w:rPr>
          <w:i/>
          <w:iCs/>
        </w:rPr>
        <w:t>Ill. State Bd. of Elections v. Socialist Workers Party</w:t>
      </w:r>
      <w:r>
        <w:t>, 440 U.S. 173, 180–81 (1979))</w:t>
      </w:r>
      <w:r w:rsidR="00A27CF3">
        <w:t xml:space="preserve"> (to similar effect)</w:t>
      </w:r>
      <w:r>
        <w:t>.</w:t>
      </w:r>
    </w:p>
    <w:p w14:paraId="50D95B13" w14:textId="4D9B3261" w:rsidR="00FB4E56" w:rsidRDefault="00905326" w:rsidP="009807A1">
      <w:pPr>
        <w:pStyle w:val="Body"/>
      </w:pPr>
      <w:r w:rsidRPr="002F7732">
        <w:t>Third</w:t>
      </w:r>
      <w:r>
        <w:t xml:space="preserve">, </w:t>
      </w:r>
      <w:r w:rsidR="005956E6">
        <w:t xml:space="preserve">the Supreme Court </w:t>
      </w:r>
      <w:r w:rsidR="005D600A">
        <w:t xml:space="preserve">itself </w:t>
      </w:r>
      <w:r w:rsidR="005956E6">
        <w:t>has implicitly indicated</w:t>
      </w:r>
      <w:r w:rsidR="005D600A">
        <w:t xml:space="preserve"> that it does not treat</w:t>
      </w:r>
      <w:r w:rsidR="005956E6">
        <w:t xml:space="preserve"> emergency stay orders as precedential, even when </w:t>
      </w:r>
      <w:r w:rsidR="005D600A">
        <w:t>those</w:t>
      </w:r>
      <w:r w:rsidR="005956E6">
        <w:t xml:space="preserve"> orders </w:t>
      </w:r>
      <w:r w:rsidR="005D600A">
        <w:t>directly address the same legal issue in a later merits case.</w:t>
      </w:r>
      <w:r w:rsidR="005956E6">
        <w:t xml:space="preserve"> Bert I. Huang, </w:t>
      </w:r>
      <w:r w:rsidR="005956E6" w:rsidRPr="00353297">
        <w:rPr>
          <w:i/>
          <w:iCs/>
        </w:rPr>
        <w:t>The Foreshadow Docket</w:t>
      </w:r>
      <w:r w:rsidR="005956E6" w:rsidRPr="00353297">
        <w:t xml:space="preserve">, 124 </w:t>
      </w:r>
      <w:r w:rsidR="005956E6" w:rsidRPr="002F7732">
        <w:rPr>
          <w:smallCaps/>
        </w:rPr>
        <w:t>Colum. L. Rev.</w:t>
      </w:r>
      <w:r w:rsidR="005956E6" w:rsidRPr="00353297">
        <w:t xml:space="preserve"> 851</w:t>
      </w:r>
      <w:r w:rsidR="005956E6">
        <w:t>, 867–68 &amp; n.67 (2024</w:t>
      </w:r>
      <w:r w:rsidR="007051FB">
        <w:t>)</w:t>
      </w:r>
      <w:r w:rsidR="005956E6">
        <w:t xml:space="preserve">. For example, in </w:t>
      </w:r>
      <w:r w:rsidR="005956E6" w:rsidRPr="00D30BEC">
        <w:rPr>
          <w:i/>
          <w:iCs/>
        </w:rPr>
        <w:t>Fulton v. City of Philadelphia, Pennsylvania</w:t>
      </w:r>
      <w:r w:rsidR="005956E6">
        <w:t xml:space="preserve">, 593 U.S. 522 (2021), the </w:t>
      </w:r>
      <w:r w:rsidR="003B78C1">
        <w:t xml:space="preserve">Court considered whether </w:t>
      </w:r>
      <w:r w:rsidR="007051FB">
        <w:t>the</w:t>
      </w:r>
      <w:r w:rsidR="003B78C1">
        <w:t xml:space="preserve"> city’s policy requiring foster care agencies to include same-sex couples violated religious agencies’ free speech and free exercise rights. </w:t>
      </w:r>
      <w:r w:rsidR="007051FB">
        <w:t xml:space="preserve">Notably, the Court </w:t>
      </w:r>
      <w:r w:rsidR="00DC05BE">
        <w:t>“</w:t>
      </w:r>
      <w:r w:rsidR="005956E6">
        <w:t>pointedly ignored</w:t>
      </w:r>
      <w:r w:rsidR="009807A1">
        <w:t>,</w:t>
      </w:r>
      <w:r w:rsidR="005956E6">
        <w:t>”</w:t>
      </w:r>
      <w:r w:rsidR="009807A1" w:rsidRPr="009807A1">
        <w:rPr>
          <w:i/>
          <w:iCs/>
        </w:rPr>
        <w:t xml:space="preserve"> </w:t>
      </w:r>
      <w:r w:rsidR="009807A1">
        <w:t>Huang</w:t>
      </w:r>
      <w:r w:rsidR="00952798">
        <w:t xml:space="preserve">, </w:t>
      </w:r>
      <w:r w:rsidR="00952798" w:rsidRPr="00952798">
        <w:rPr>
          <w:i/>
          <w:iCs/>
        </w:rPr>
        <w:t>supra</w:t>
      </w:r>
      <w:r w:rsidR="00952798">
        <w:t>,</w:t>
      </w:r>
      <w:r w:rsidR="009807A1" w:rsidRPr="00AA4B6B">
        <w:rPr>
          <w:i/>
          <w:iCs/>
        </w:rPr>
        <w:t xml:space="preserve"> </w:t>
      </w:r>
      <w:r w:rsidR="009807A1">
        <w:t>at 868 n.67,</w:t>
      </w:r>
      <w:r w:rsidR="002F7732">
        <w:t xml:space="preserve"> </w:t>
      </w:r>
      <w:r w:rsidR="00AA4B6B">
        <w:t xml:space="preserve">its own </w:t>
      </w:r>
      <w:r w:rsidR="005956E6">
        <w:t>prior emergency per curiam orders</w:t>
      </w:r>
      <w:r w:rsidR="000E7970">
        <w:t xml:space="preserve"> addressing </w:t>
      </w:r>
      <w:r w:rsidR="00AA4B6B">
        <w:t>whether COVID-19 restrictions on religious gatherings violated the Free Exercise Clause</w:t>
      </w:r>
      <w:r w:rsidR="008D0B64">
        <w:t xml:space="preserve">, </w:t>
      </w:r>
      <w:r w:rsidR="008D0B64">
        <w:rPr>
          <w:i/>
          <w:iCs/>
        </w:rPr>
        <w:t>s</w:t>
      </w:r>
      <w:r w:rsidR="008D0B64" w:rsidRPr="008D0B64">
        <w:rPr>
          <w:i/>
          <w:iCs/>
        </w:rPr>
        <w:t>ee</w:t>
      </w:r>
      <w:r w:rsidR="000E7970">
        <w:t xml:space="preserve"> </w:t>
      </w:r>
      <w:r w:rsidR="003B78C1" w:rsidRPr="00F85822">
        <w:rPr>
          <w:i/>
          <w:iCs/>
        </w:rPr>
        <w:t>Tandon v. Newsom</w:t>
      </w:r>
      <w:r w:rsidR="003B78C1">
        <w:t>, 141 S. Ct. 1294 (2021) (per curiam)</w:t>
      </w:r>
      <w:r w:rsidR="008D0B64">
        <w:t xml:space="preserve">; </w:t>
      </w:r>
      <w:r w:rsidR="003B78C1" w:rsidRPr="00F85822">
        <w:rPr>
          <w:i/>
          <w:iCs/>
        </w:rPr>
        <w:t>Roman Cath. Diocese of Brooklyn v. Cuomo</w:t>
      </w:r>
      <w:r w:rsidR="003B78C1">
        <w:t xml:space="preserve">, 141 S. Ct. 63 (2020) (per curiam), </w:t>
      </w:r>
      <w:r w:rsidR="008D0B64">
        <w:t>even though all three decisions tested whether similar restrictions affecting faith practices were neutral and generally applicable.</w:t>
      </w:r>
    </w:p>
    <w:p w14:paraId="61F1DC28" w14:textId="416488DC" w:rsidR="0073031C" w:rsidRDefault="00FB4E56" w:rsidP="0073031C">
      <w:pPr>
        <w:pStyle w:val="Body"/>
      </w:pPr>
      <w:r>
        <w:lastRenderedPageBreak/>
        <w:t>Thus, t</w:t>
      </w:r>
      <w:r w:rsidR="008D0B64" w:rsidRPr="008D0B64">
        <w:t>he Court’s own practice reinforces what stare decisis demands: a fully argued merits decision controls, while summary emergency orders do not.</w:t>
      </w:r>
      <w:r w:rsidR="003A50A8">
        <w:t xml:space="preserve"> </w:t>
      </w:r>
      <w:r w:rsidR="003A50A8" w:rsidRPr="003A50A8">
        <w:rPr>
          <w:i/>
          <w:iCs/>
        </w:rPr>
        <w:t>See</w:t>
      </w:r>
      <w:r w:rsidR="003A50A8">
        <w:t xml:space="preserve"> </w:t>
      </w:r>
      <w:r w:rsidR="003A50A8" w:rsidRPr="00D30BEC">
        <w:rPr>
          <w:i/>
          <w:iCs/>
        </w:rPr>
        <w:t>Fulton</w:t>
      </w:r>
      <w:r w:rsidR="003A50A8">
        <w:t xml:space="preserve">, 593 U.S. 522; </w:t>
      </w:r>
      <w:r w:rsidR="003A50A8" w:rsidRPr="003A50A8">
        <w:rPr>
          <w:i/>
          <w:iCs/>
        </w:rPr>
        <w:t>see also Merrill v. Milligan</w:t>
      </w:r>
      <w:r w:rsidR="003A50A8">
        <w:t>, 142 S. Ct. 879</w:t>
      </w:r>
      <w:r w:rsidR="00964B73">
        <w:t>, 879</w:t>
      </w:r>
      <w:r w:rsidR="003A50A8">
        <w:t xml:space="preserve"> (2022) (Kavanaugh, J., concurring) (“The stay will allow this Court to decide the merits in an orderly fashion—after full briefing, oral argument, and our usual extensive internal deliberations—and ensure that we do not have to decide the merits on the emergency docket. To reiterate: The Court’s stay order is not a decision on the merits.”).</w:t>
      </w:r>
    </w:p>
    <w:p w14:paraId="4B438B57" w14:textId="073B312C" w:rsidR="005956E6" w:rsidRDefault="00FF2ABC" w:rsidP="005E17AB">
      <w:pPr>
        <w:pStyle w:val="Body"/>
      </w:pPr>
      <w:r>
        <w:t xml:space="preserve">Indeed, </w:t>
      </w:r>
      <w:r w:rsidR="00905326">
        <w:t xml:space="preserve">scholars caution that </w:t>
      </w:r>
      <w:r w:rsidR="002B3D9F">
        <w:t>treating</w:t>
      </w:r>
      <w:r w:rsidR="00905326">
        <w:t xml:space="preserve"> emergency orders </w:t>
      </w:r>
      <w:r w:rsidR="002B3D9F">
        <w:t xml:space="preserve">as </w:t>
      </w:r>
      <w:r w:rsidR="00905326">
        <w:t>precedential w</w:t>
      </w:r>
      <w:r w:rsidR="00905326" w:rsidRPr="002B3D9F">
        <w:t xml:space="preserve">ould </w:t>
      </w:r>
      <w:r w:rsidR="00987C1E">
        <w:t>cause</w:t>
      </w:r>
      <w:r w:rsidR="00905326" w:rsidRPr="002B3D9F">
        <w:t xml:space="preserve"> confusion and improperly allow the Court to </w:t>
      </w:r>
      <w:r w:rsidR="00F00B8C">
        <w:t>issue merits rulings</w:t>
      </w:r>
      <w:r w:rsidR="00905326" w:rsidRPr="002B3D9F">
        <w:t xml:space="preserve"> in the shadows. </w:t>
      </w:r>
      <w:r w:rsidR="002B3D9F">
        <w:t xml:space="preserve">Cole Waldhauser, </w:t>
      </w:r>
      <w:r w:rsidR="002B3D9F" w:rsidRPr="00CD724E">
        <w:rPr>
          <w:i/>
          <w:iCs/>
        </w:rPr>
        <w:t>Unprecedented Precedent</w:t>
      </w:r>
      <w:r w:rsidR="002B3D9F">
        <w:t xml:space="preserve">, 37 </w:t>
      </w:r>
      <w:r w:rsidR="002B3D9F" w:rsidRPr="00FE284A">
        <w:rPr>
          <w:smallCaps/>
        </w:rPr>
        <w:t>Const. Comment</w:t>
      </w:r>
      <w:r w:rsidR="009807A1" w:rsidRPr="00FE284A">
        <w:rPr>
          <w:smallCaps/>
        </w:rPr>
        <w:t>.</w:t>
      </w:r>
      <w:r w:rsidR="002B3D9F">
        <w:t xml:space="preserve"> 149, 150–64 (2022)</w:t>
      </w:r>
      <w:r w:rsidR="00353297">
        <w:t xml:space="preserve">; </w:t>
      </w:r>
      <w:r w:rsidR="00905326">
        <w:t xml:space="preserve">William </w:t>
      </w:r>
      <w:proofErr w:type="spellStart"/>
      <w:r w:rsidR="00905326">
        <w:t>Baude</w:t>
      </w:r>
      <w:proofErr w:type="spellEnd"/>
      <w:r w:rsidR="00905326">
        <w:t xml:space="preserve">, </w:t>
      </w:r>
      <w:r w:rsidR="00905326" w:rsidRPr="00CD724E">
        <w:rPr>
          <w:i/>
          <w:iCs/>
        </w:rPr>
        <w:t>The Supreme Court’s Shadow Docket</w:t>
      </w:r>
      <w:r w:rsidR="00905326">
        <w:t xml:space="preserve">, 9 </w:t>
      </w:r>
      <w:r w:rsidR="00905326" w:rsidRPr="00FE284A">
        <w:rPr>
          <w:smallCaps/>
        </w:rPr>
        <w:t>N.Y.U. J.L. &amp; Liberty</w:t>
      </w:r>
      <w:r w:rsidR="00905326">
        <w:t xml:space="preserve"> 1 (2015).</w:t>
      </w:r>
      <w:r w:rsidR="00B3782E">
        <w:rPr>
          <w:rStyle w:val="FootnoteReference"/>
        </w:rPr>
        <w:footnoteReference w:id="4"/>
      </w:r>
      <w:r w:rsidR="006902C7">
        <w:t xml:space="preserve"> </w:t>
      </w:r>
      <w:r w:rsidR="006902C7">
        <w:lastRenderedPageBreak/>
        <w:t xml:space="preserve">After all, </w:t>
      </w:r>
      <w:r w:rsidR="002703C8">
        <w:t>when the Court issues an emergency order, it has not granted certiorari on the questions presented</w:t>
      </w:r>
      <w:r w:rsidR="006902C7">
        <w:t xml:space="preserve">—and certiorari </w:t>
      </w:r>
      <w:r w:rsidR="0040097A">
        <w:t xml:space="preserve">is wisely posited as a bright-line </w:t>
      </w:r>
      <w:r w:rsidR="006902C7">
        <w:t xml:space="preserve">prerequisite for stare decisis. Huang, </w:t>
      </w:r>
      <w:r w:rsidR="00DA4384" w:rsidRPr="00DA4384">
        <w:rPr>
          <w:i/>
          <w:iCs/>
        </w:rPr>
        <w:t>supra</w:t>
      </w:r>
      <w:r w:rsidR="00DA4384">
        <w:t>,</w:t>
      </w:r>
      <w:r w:rsidR="006902C7">
        <w:t xml:space="preserve"> at 864–67</w:t>
      </w:r>
      <w:r w:rsidR="00C058B7">
        <w:t xml:space="preserve"> &amp; </w:t>
      </w:r>
      <w:proofErr w:type="spellStart"/>
      <w:r w:rsidR="00C058B7">
        <w:t>nn</w:t>
      </w:r>
      <w:proofErr w:type="spellEnd"/>
      <w:r w:rsidR="00C058B7">
        <w:t>. 62–67</w:t>
      </w:r>
      <w:r w:rsidR="00F023D9">
        <w:t xml:space="preserve">; </w:t>
      </w:r>
      <w:r w:rsidR="00B05BF7" w:rsidRPr="00FE284A">
        <w:rPr>
          <w:smallCaps/>
        </w:rPr>
        <w:t xml:space="preserve">Stephen </w:t>
      </w:r>
      <w:r w:rsidR="0040097A" w:rsidRPr="00FE284A">
        <w:rPr>
          <w:smallCaps/>
        </w:rPr>
        <w:t xml:space="preserve">Vladeck, </w:t>
      </w:r>
      <w:r w:rsidR="00881B4E" w:rsidRPr="00FE284A">
        <w:rPr>
          <w:smallCaps/>
        </w:rPr>
        <w:t xml:space="preserve">The </w:t>
      </w:r>
      <w:r w:rsidR="0040097A" w:rsidRPr="00FE284A">
        <w:rPr>
          <w:smallCaps/>
        </w:rPr>
        <w:t>Shadow Docket</w:t>
      </w:r>
      <w:r w:rsidR="00881B4E">
        <w:t xml:space="preserve"> </w:t>
      </w:r>
      <w:r w:rsidR="00C058B7">
        <w:t>191</w:t>
      </w:r>
      <w:r w:rsidR="00881B4E">
        <w:t>–</w:t>
      </w:r>
      <w:r w:rsidR="00C058B7">
        <w:t xml:space="preserve">92, </w:t>
      </w:r>
      <w:r w:rsidR="0040097A">
        <w:t>250</w:t>
      </w:r>
      <w:r w:rsidR="00881B4E">
        <w:t>–</w:t>
      </w:r>
      <w:r w:rsidR="0040097A">
        <w:t>55</w:t>
      </w:r>
      <w:r w:rsidR="00881B4E">
        <w:t xml:space="preserve"> </w:t>
      </w:r>
      <w:r w:rsidR="00051271">
        <w:t>(2023)</w:t>
      </w:r>
      <w:r w:rsidR="001F366A">
        <w:t xml:space="preserve">; </w:t>
      </w:r>
      <w:r w:rsidR="001F366A" w:rsidRPr="005F1EDE">
        <w:rPr>
          <w:i/>
          <w:iCs/>
        </w:rPr>
        <w:t>see also</w:t>
      </w:r>
      <w:r w:rsidR="001F366A" w:rsidRPr="005F1EDE">
        <w:t xml:space="preserve"> </w:t>
      </w:r>
      <w:r w:rsidR="001F366A" w:rsidRPr="0064453F">
        <w:t>21 C.J.S. Courts § 232, Summary or per curiam dispositions (2025)</w:t>
      </w:r>
      <w:r w:rsidR="001F366A">
        <w:t xml:space="preserve"> (</w:t>
      </w:r>
      <w:r w:rsidR="001F366A" w:rsidRPr="001F366A">
        <w:t>“The Supreme Court</w:t>
      </w:r>
      <w:r w:rsidR="001F366A">
        <w:t>’</w:t>
      </w:r>
      <w:r w:rsidR="001F366A" w:rsidRPr="001F366A">
        <w:t>s holdings are confined to questions on which it grants certiorari.”</w:t>
      </w:r>
      <w:r w:rsidR="001F366A">
        <w:t xml:space="preserve">) (citing </w:t>
      </w:r>
      <w:r w:rsidR="001F366A" w:rsidRPr="009F7744">
        <w:rPr>
          <w:i/>
          <w:iCs/>
        </w:rPr>
        <w:t>Davis v. United States</w:t>
      </w:r>
      <w:r w:rsidR="001F366A" w:rsidRPr="001F366A">
        <w:t>, 564 U.S. 229</w:t>
      </w:r>
      <w:r w:rsidR="00FE12BE">
        <w:t>, 247</w:t>
      </w:r>
      <w:r w:rsidR="001F366A" w:rsidRPr="001F366A">
        <w:t xml:space="preserve"> (2011)).</w:t>
      </w:r>
    </w:p>
    <w:p w14:paraId="3DAEEF83" w14:textId="3F55C866" w:rsidR="001616C5" w:rsidRDefault="00905326" w:rsidP="00B07248">
      <w:pPr>
        <w:pStyle w:val="Body"/>
      </w:pPr>
      <w:r w:rsidRPr="00FE284A">
        <w:t>Fourth</w:t>
      </w:r>
      <w:r w:rsidR="00C456D9">
        <w:t xml:space="preserve">, </w:t>
      </w:r>
      <w:r w:rsidR="00657736" w:rsidRPr="00657736">
        <w:rPr>
          <w:i/>
          <w:iCs/>
        </w:rPr>
        <w:t>DOE</w:t>
      </w:r>
      <w:r w:rsidR="00657736">
        <w:t xml:space="preserve"> did not purport to overturn </w:t>
      </w:r>
      <w:r w:rsidR="00657736" w:rsidRPr="00657736">
        <w:rPr>
          <w:i/>
          <w:iCs/>
        </w:rPr>
        <w:t>Bowen</w:t>
      </w:r>
      <w:r w:rsidR="00657736">
        <w:t xml:space="preserve">—to the contrary, it </w:t>
      </w:r>
      <w:r w:rsidR="00A27112">
        <w:t xml:space="preserve">aimed to </w:t>
      </w:r>
      <w:r w:rsidR="00657736">
        <w:t>harmonize</w:t>
      </w:r>
      <w:r w:rsidR="00A27112">
        <w:t xml:space="preserve"> </w:t>
      </w:r>
      <w:r w:rsidR="00B07248">
        <w:t xml:space="preserve">its order </w:t>
      </w:r>
      <w:r w:rsidR="00A27112">
        <w:t>with</w:t>
      </w:r>
      <w:r w:rsidR="00657736">
        <w:t xml:space="preserve"> it. </w:t>
      </w:r>
      <w:r w:rsidR="00657736" w:rsidRPr="00657736">
        <w:rPr>
          <w:i/>
          <w:iCs/>
        </w:rPr>
        <w:t>See DOE</w:t>
      </w:r>
      <w:r w:rsidR="00657736">
        <w:t xml:space="preserve">, </w:t>
      </w:r>
      <w:r w:rsidR="00896AC8" w:rsidRPr="007B0ADD">
        <w:rPr>
          <w:lang w:val="x-none" w:eastAsia="x-none"/>
        </w:rPr>
        <w:t>145 S. Ct.</w:t>
      </w:r>
      <w:r w:rsidR="00896AC8">
        <w:rPr>
          <w:lang w:val="x-none" w:eastAsia="x-none"/>
        </w:rPr>
        <w:t xml:space="preserve"> at 968</w:t>
      </w:r>
      <w:r w:rsidR="00657736">
        <w:t>. T</w:t>
      </w:r>
      <w:r w:rsidR="00C456D9">
        <w:t xml:space="preserve">he Supreme “Court does not normally overturn, or </w:t>
      </w:r>
      <w:r w:rsidR="00304156">
        <w:t>. . .</w:t>
      </w:r>
      <w:r w:rsidR="00C456D9">
        <w:t xml:space="preserve"> dramatically limit, earlier authority sub silentio.” </w:t>
      </w:r>
      <w:r w:rsidR="00C456D9" w:rsidRPr="00C65DD5">
        <w:rPr>
          <w:i/>
          <w:iCs/>
        </w:rPr>
        <w:t>Shalala v. Illinois Council on Long Term Care, Inc.</w:t>
      </w:r>
      <w:r w:rsidR="00C456D9">
        <w:t xml:space="preserve">, 529 U.S. 1, 18 (2000); </w:t>
      </w:r>
      <w:r w:rsidR="00C456D9" w:rsidRPr="00732BB1">
        <w:rPr>
          <w:i/>
          <w:iCs/>
        </w:rPr>
        <w:t>accord</w:t>
      </w:r>
      <w:r w:rsidR="00B07248">
        <w:rPr>
          <w:i/>
          <w:iCs/>
        </w:rPr>
        <w:t xml:space="preserve"> </w:t>
      </w:r>
      <w:r w:rsidR="00C456D9" w:rsidRPr="00732BB1">
        <w:rPr>
          <w:i/>
          <w:iCs/>
        </w:rPr>
        <w:t>United States v. Obaid</w:t>
      </w:r>
      <w:r w:rsidR="00C456D9">
        <w:t xml:space="preserve">, 971 F.3d 1095, 1102 (9th Cir. 2020); </w:t>
      </w:r>
      <w:proofErr w:type="spellStart"/>
      <w:r w:rsidR="00C456D9" w:rsidRPr="00C456D9">
        <w:rPr>
          <w:i/>
          <w:iCs/>
        </w:rPr>
        <w:t>Denezpi</w:t>
      </w:r>
      <w:proofErr w:type="spellEnd"/>
      <w:r w:rsidR="00C456D9" w:rsidRPr="00C456D9">
        <w:rPr>
          <w:i/>
          <w:iCs/>
        </w:rPr>
        <w:t xml:space="preserve"> v. United States</w:t>
      </w:r>
      <w:r w:rsidR="00C456D9">
        <w:t>, 596 U.S. 591, 603 (2022) (“[I]</w:t>
      </w:r>
      <w:proofErr w:type="spellStart"/>
      <w:r w:rsidR="00C456D9">
        <w:t>mprecise</w:t>
      </w:r>
      <w:proofErr w:type="spellEnd"/>
      <w:r w:rsidR="00C456D9">
        <w:t xml:space="preserve"> statements cannot overcome the holdings of our </w:t>
      </w:r>
      <w:r w:rsidR="00C456D9">
        <w:lastRenderedPageBreak/>
        <w:t xml:space="preserve">cases[.]”). This rule holds particularly true when it comes to summary orders. For example, </w:t>
      </w:r>
      <w:r w:rsidR="005A53CE">
        <w:t>“</w:t>
      </w:r>
      <w:r w:rsidR="00C456D9">
        <w:t>[a]</w:t>
      </w:r>
      <w:r w:rsidR="005A53CE">
        <w:t xml:space="preserve"> summary affirmance is not to be read as a renunciation by this Court of doctrines previously announced in our opinions after full argument.”</w:t>
      </w:r>
      <w:r w:rsidR="000A2491">
        <w:t xml:space="preserve"> </w:t>
      </w:r>
      <w:r w:rsidR="005A53CE" w:rsidRPr="00657929">
        <w:rPr>
          <w:i/>
          <w:iCs/>
        </w:rPr>
        <w:t>Wynne</w:t>
      </w:r>
      <w:r w:rsidR="005A53CE">
        <w:t>,</w:t>
      </w:r>
      <w:r w:rsidR="005A53CE" w:rsidRPr="00657929">
        <w:t xml:space="preserve"> </w:t>
      </w:r>
      <w:r w:rsidR="005A53CE">
        <w:t>575 U.S. at 560 (cleaned up).</w:t>
      </w:r>
      <w:bookmarkStart w:id="28" w:name="_Hlk202819047"/>
    </w:p>
    <w:bookmarkEnd w:id="28"/>
    <w:p w14:paraId="3644F871" w14:textId="77777777" w:rsidR="00BA4A30" w:rsidRDefault="004D28E2" w:rsidP="00FE7D61">
      <w:pPr>
        <w:pStyle w:val="Body"/>
      </w:pPr>
      <w:r>
        <w:t xml:space="preserve">Here, the </w:t>
      </w:r>
      <w:r w:rsidRPr="004D28E2">
        <w:rPr>
          <w:i/>
          <w:iCs/>
        </w:rPr>
        <w:t>DOE</w:t>
      </w:r>
      <w:r>
        <w:t xml:space="preserve"> Court mentioned </w:t>
      </w:r>
      <w:r w:rsidRPr="004D28E2">
        <w:rPr>
          <w:i/>
          <w:iCs/>
        </w:rPr>
        <w:t>Bowen</w:t>
      </w:r>
      <w:r>
        <w:t xml:space="preserve"> </w:t>
      </w:r>
      <w:r w:rsidR="00A752DB">
        <w:t xml:space="preserve">only </w:t>
      </w:r>
      <w:r>
        <w:t xml:space="preserve">in an abbreviated discussion and did not purport to overrule it. </w:t>
      </w:r>
      <w:r w:rsidR="00F33883" w:rsidRPr="00787F2C">
        <w:rPr>
          <w:i/>
          <w:iCs/>
        </w:rPr>
        <w:t>DOE</w:t>
      </w:r>
      <w:r w:rsidR="00F33883">
        <w:t xml:space="preserve">, 145 S. Ct. at 968. </w:t>
      </w:r>
      <w:r>
        <w:t xml:space="preserve">The Court acknowledged </w:t>
      </w:r>
      <w:r w:rsidRPr="004D28E2">
        <w:rPr>
          <w:i/>
          <w:iCs/>
        </w:rPr>
        <w:t>Bowen</w:t>
      </w:r>
      <w:r>
        <w:t xml:space="preserve">’s holding that a district court’s jurisdiction is not barred </w:t>
      </w:r>
      <w:r w:rsidR="00787F2C">
        <w:t>just</w:t>
      </w:r>
      <w:r>
        <w:t xml:space="preserve"> because setting aside agency action might lead to the disbursement of funds. </w:t>
      </w:r>
      <w:r w:rsidR="00F33883">
        <w:rPr>
          <w:i/>
          <w:iCs/>
        </w:rPr>
        <w:t>Id</w:t>
      </w:r>
      <w:r w:rsidRPr="00F33883">
        <w:rPr>
          <w:i/>
          <w:iCs/>
        </w:rPr>
        <w:t>.</w:t>
      </w:r>
      <w:r>
        <w:t xml:space="preserve"> </w:t>
      </w:r>
      <w:r w:rsidR="00787F2C" w:rsidRPr="00A752DB">
        <w:rPr>
          <w:i/>
          <w:iCs/>
        </w:rPr>
        <w:t>DOE</w:t>
      </w:r>
      <w:r w:rsidR="00787F2C">
        <w:t xml:space="preserve"> </w:t>
      </w:r>
      <w:r>
        <w:t>went on to note that the APA’s waiver of sovereign immunity does not extend to orders enforcing a purely contractual obligation to pay money,</w:t>
      </w:r>
      <w:r w:rsidR="00787F2C">
        <w:t xml:space="preserve"> which </w:t>
      </w:r>
      <w:r w:rsidR="00A752DB">
        <w:t xml:space="preserve">it </w:t>
      </w:r>
      <w:r w:rsidR="00787F2C">
        <w:t xml:space="preserve">concluded was the </w:t>
      </w:r>
      <w:r w:rsidR="00A752DB">
        <w:t>situation</w:t>
      </w:r>
      <w:r w:rsidR="00787F2C">
        <w:t xml:space="preserve"> there because the district court ordered the Government to pay out past-due grant obligations. </w:t>
      </w:r>
      <w:r w:rsidR="00787F2C" w:rsidRPr="00787F2C">
        <w:rPr>
          <w:i/>
          <w:iCs/>
        </w:rPr>
        <w:t>Id.</w:t>
      </w:r>
      <w:r w:rsidR="00787F2C">
        <w:t xml:space="preserve"> (citing </w:t>
      </w:r>
      <w:r w:rsidR="00787F2C" w:rsidRPr="00787F2C">
        <w:rPr>
          <w:i/>
          <w:iCs/>
        </w:rPr>
        <w:t>Great-West Life &amp; Annuity Ins. Co. v. Knudson</w:t>
      </w:r>
      <w:r w:rsidR="00787F2C">
        <w:t>, 534 U.S. 204, 212 (2002)</w:t>
      </w:r>
      <w:r w:rsidR="00F434C4">
        <w:t xml:space="preserve"> (</w:t>
      </w:r>
      <w:r w:rsidR="00F434C4" w:rsidRPr="00F434C4">
        <w:rPr>
          <w:i/>
          <w:iCs/>
        </w:rPr>
        <w:t>Knudson</w:t>
      </w:r>
      <w:r w:rsidR="00F434C4">
        <w:t>)</w:t>
      </w:r>
      <w:r w:rsidR="00787F2C">
        <w:t>)</w:t>
      </w:r>
      <w:r w:rsidR="00FE7D61">
        <w:t xml:space="preserve">. </w:t>
      </w:r>
    </w:p>
    <w:p w14:paraId="4E443CE6" w14:textId="3832744D" w:rsidR="004D28E2" w:rsidRDefault="00F434C4" w:rsidP="00BA4A30">
      <w:pPr>
        <w:pStyle w:val="Body"/>
      </w:pPr>
      <w:r w:rsidRPr="00F434C4">
        <w:rPr>
          <w:i/>
          <w:iCs/>
        </w:rPr>
        <w:t>Knudson</w:t>
      </w:r>
      <w:r w:rsidR="00BA4A30">
        <w:t>, in turn,</w:t>
      </w:r>
      <w:r>
        <w:t xml:space="preserve"> </w:t>
      </w:r>
      <w:r w:rsidR="00BA4A30">
        <w:t xml:space="preserve">interpreted ERISA, not the APA </w:t>
      </w:r>
      <w:r w:rsidR="00220222">
        <w:t>n</w:t>
      </w:r>
      <w:r w:rsidR="00BA4A30">
        <w:t xml:space="preserve">or </w:t>
      </w:r>
      <w:r w:rsidR="00220222">
        <w:t xml:space="preserve">the </w:t>
      </w:r>
      <w:r w:rsidR="00BA4A30">
        <w:t xml:space="preserve">Tucker Act. </w:t>
      </w:r>
      <w:r w:rsidR="00B45F9C">
        <w:t xml:space="preserve">It </w:t>
      </w:r>
      <w:r>
        <w:t xml:space="preserve">held that ERISA’s </w:t>
      </w:r>
      <w:r w:rsidRPr="00F434C4">
        <w:t xml:space="preserve">“appropriate equitable relief” </w:t>
      </w:r>
      <w:r>
        <w:t>clause</w:t>
      </w:r>
      <w:r w:rsidR="00394985">
        <w:t xml:space="preserve">, </w:t>
      </w:r>
      <w:r w:rsidR="00394985" w:rsidRPr="00394985">
        <w:t>29 U.S.C. §</w:t>
      </w:r>
      <w:r w:rsidR="00BA4A30">
        <w:t> </w:t>
      </w:r>
      <w:r w:rsidR="00394985" w:rsidRPr="00394985">
        <w:t>1132(a)(3)(B)</w:t>
      </w:r>
      <w:r w:rsidR="00394985">
        <w:t>,</w:t>
      </w:r>
      <w:r>
        <w:t xml:space="preserve"> does not </w:t>
      </w:r>
      <w:r w:rsidR="00726F9D">
        <w:t>let</w:t>
      </w:r>
      <w:r>
        <w:t xml:space="preserve"> employee benefit plans sue their beneficiaries </w:t>
      </w:r>
      <w:r w:rsidR="00726F9D">
        <w:t xml:space="preserve">for </w:t>
      </w:r>
      <w:r>
        <w:t xml:space="preserve">specific performance of </w:t>
      </w:r>
      <w:r w:rsidR="00726F9D">
        <w:t>a</w:t>
      </w:r>
      <w:r>
        <w:t xml:space="preserve"> reimbursement provision or restitution of </w:t>
      </w:r>
      <w:r w:rsidR="00726F9D">
        <w:t xml:space="preserve">plan </w:t>
      </w:r>
      <w:r>
        <w:t>funds</w:t>
      </w:r>
      <w:r w:rsidR="00394985">
        <w:t>,</w:t>
      </w:r>
      <w:r>
        <w:t xml:space="preserve"> </w:t>
      </w:r>
      <w:r w:rsidR="00394985" w:rsidRPr="00394985">
        <w:rPr>
          <w:i/>
          <w:iCs/>
        </w:rPr>
        <w:t>Knudson</w:t>
      </w:r>
      <w:r w:rsidR="00394985">
        <w:t xml:space="preserve">, </w:t>
      </w:r>
      <w:r w:rsidR="00B45F9C">
        <w:t xml:space="preserve">534 U.S. at 212. The Court </w:t>
      </w:r>
      <w:r w:rsidR="00B45F9C">
        <w:lastRenderedPageBreak/>
        <w:t xml:space="preserve">explained that, unlike in </w:t>
      </w:r>
      <w:r w:rsidR="00B45F9C" w:rsidRPr="00B45F9C">
        <w:rPr>
          <w:i/>
          <w:iCs/>
        </w:rPr>
        <w:t>Bowen</w:t>
      </w:r>
      <w:r w:rsidR="00B45F9C">
        <w:t xml:space="preserve">, the plaintiffs sought “specific performance of a </w:t>
      </w:r>
      <w:r w:rsidR="00B45F9C" w:rsidRPr="00B45F9C">
        <w:rPr>
          <w:i/>
          <w:iCs/>
        </w:rPr>
        <w:t>contractual</w:t>
      </w:r>
      <w:r w:rsidR="00B45F9C">
        <w:t xml:space="preserve"> obligation to pay </w:t>
      </w:r>
      <w:r w:rsidR="00B45F9C" w:rsidRPr="00B45F9C">
        <w:rPr>
          <w:i/>
          <w:iCs/>
        </w:rPr>
        <w:t>past</w:t>
      </w:r>
      <w:r w:rsidR="00B45F9C">
        <w:t xml:space="preserve"> due sums.” </w:t>
      </w:r>
      <w:r w:rsidR="00B45F9C">
        <w:rPr>
          <w:i/>
          <w:iCs/>
        </w:rPr>
        <w:t>Id.</w:t>
      </w:r>
      <w:r w:rsidR="00BA4A30">
        <w:t xml:space="preserve">  While Knudson narrowed the power of district courts to provide remedies under a </w:t>
      </w:r>
      <w:proofErr w:type="gramStart"/>
      <w:r w:rsidR="00BA4A30">
        <w:t>particular statute</w:t>
      </w:r>
      <w:proofErr w:type="gramEnd"/>
      <w:r w:rsidR="00BA4A30">
        <w:t xml:space="preserve">, ERISA, it left untouched </w:t>
      </w:r>
      <w:r w:rsidR="00BA4A30" w:rsidRPr="00C62E68">
        <w:rPr>
          <w:i/>
          <w:iCs/>
        </w:rPr>
        <w:t>Bowen</w:t>
      </w:r>
      <w:r w:rsidR="00BA4A30">
        <w:t xml:space="preserve">’s holding that district courts may order relief under the APA even if it may have a monetary impact on government treasuries. </w:t>
      </w:r>
      <w:r w:rsidR="00BA4A30" w:rsidRPr="00BA4A30">
        <w:rPr>
          <w:i/>
          <w:iCs/>
        </w:rPr>
        <w:t>See, e.g.</w:t>
      </w:r>
      <w:r w:rsidR="00BA4A30">
        <w:t xml:space="preserve">, Judith Resnik, </w:t>
      </w:r>
      <w:r w:rsidR="00BA4A30" w:rsidRPr="00BA4A30">
        <w:rPr>
          <w:i/>
          <w:iCs/>
        </w:rPr>
        <w:t>Of Courts, Agencies, and the Court of Federal Claims: Fortunately Outliving One</w:t>
      </w:r>
      <w:r w:rsidR="00BA4A30">
        <w:rPr>
          <w:i/>
          <w:iCs/>
        </w:rPr>
        <w:t>’</w:t>
      </w:r>
      <w:r w:rsidR="00BA4A30" w:rsidRPr="00BA4A30">
        <w:rPr>
          <w:i/>
          <w:iCs/>
        </w:rPr>
        <w:t>s Anomalous Character</w:t>
      </w:r>
      <w:r w:rsidR="00BA4A30">
        <w:t xml:space="preserve">, 71 </w:t>
      </w:r>
      <w:r w:rsidR="00BA4A30" w:rsidRPr="00BA4A30">
        <w:rPr>
          <w:smallCaps/>
        </w:rPr>
        <w:t>Geo. Wash. L. Rev.</w:t>
      </w:r>
      <w:r w:rsidR="00BA4A30">
        <w:t xml:space="preserve"> 798, 810–13 (2003). N</w:t>
      </w:r>
      <w:r w:rsidR="004D28E2">
        <w:t xml:space="preserve">either </w:t>
      </w:r>
      <w:r>
        <w:rPr>
          <w:i/>
          <w:iCs/>
        </w:rPr>
        <w:t>Knudson</w:t>
      </w:r>
      <w:r w:rsidR="004D28E2">
        <w:t xml:space="preserve"> nor the </w:t>
      </w:r>
      <w:r w:rsidR="0080609F" w:rsidRPr="0080609F">
        <w:rPr>
          <w:i/>
          <w:iCs/>
        </w:rPr>
        <w:t>DOE</w:t>
      </w:r>
      <w:r w:rsidR="0080609F">
        <w:t xml:space="preserve"> summary </w:t>
      </w:r>
      <w:r w:rsidR="004D28E2">
        <w:t xml:space="preserve">stay order purported to displace </w:t>
      </w:r>
      <w:r w:rsidR="004D28E2" w:rsidRPr="0080609F">
        <w:rPr>
          <w:i/>
          <w:iCs/>
        </w:rPr>
        <w:t>Bowen</w:t>
      </w:r>
      <w:r w:rsidR="004D28E2">
        <w:t>’s statutory holding.</w:t>
      </w:r>
    </w:p>
    <w:p w14:paraId="23A9BEDD" w14:textId="5B6C2516" w:rsidR="0080609F" w:rsidRDefault="0080609F" w:rsidP="004D28E2">
      <w:pPr>
        <w:pStyle w:val="Body"/>
      </w:pPr>
      <w:r w:rsidRPr="0080609F">
        <w:rPr>
          <w:i/>
          <w:iCs/>
        </w:rPr>
        <w:t>DOE</w:t>
      </w:r>
      <w:r>
        <w:t xml:space="preserve"> did not overrule</w:t>
      </w:r>
      <w:r w:rsidR="004D28E2">
        <w:t xml:space="preserve"> a fully argued statutory merits decision </w:t>
      </w:r>
      <w:r w:rsidR="004D28E2" w:rsidRPr="00C1025A">
        <w:rPr>
          <w:i/>
          <w:iCs/>
        </w:rPr>
        <w:t>sub silentio</w:t>
      </w:r>
      <w:r w:rsidR="004D28E2">
        <w:t xml:space="preserve">—and certainly not in a summary, per curiam emergency stay order. </w:t>
      </w:r>
      <w:r w:rsidR="008C4362" w:rsidRPr="008C4362">
        <w:rPr>
          <w:i/>
          <w:iCs/>
        </w:rPr>
        <w:t>See</w:t>
      </w:r>
      <w:r w:rsidR="008C4362">
        <w:t xml:space="preserve"> </w:t>
      </w:r>
      <w:r w:rsidRPr="00C65DD5">
        <w:rPr>
          <w:i/>
          <w:iCs/>
        </w:rPr>
        <w:t>Shalala</w:t>
      </w:r>
      <w:r>
        <w:t xml:space="preserve">, 529 U.S. at 18; </w:t>
      </w:r>
      <w:r w:rsidRPr="00657929">
        <w:rPr>
          <w:i/>
          <w:iCs/>
        </w:rPr>
        <w:t>Wynne</w:t>
      </w:r>
      <w:r>
        <w:t>,</w:t>
      </w:r>
      <w:r w:rsidRPr="00657929">
        <w:t xml:space="preserve"> </w:t>
      </w:r>
      <w:r>
        <w:t>575 U.S. at 560.</w:t>
      </w:r>
    </w:p>
    <w:p w14:paraId="03EE6DB6" w14:textId="13768C1D" w:rsidR="00666095" w:rsidRDefault="007E3F23" w:rsidP="005A7D21">
      <w:pPr>
        <w:pStyle w:val="Body"/>
      </w:pPr>
      <w:r w:rsidRPr="007E3F23">
        <w:t xml:space="preserve">While Justices Kagan and Jackson expressed concern that the </w:t>
      </w:r>
      <w:r w:rsidRPr="007E3F23">
        <w:rPr>
          <w:i/>
          <w:iCs/>
        </w:rPr>
        <w:t>DOE</w:t>
      </w:r>
      <w:r w:rsidRPr="007E3F23">
        <w:t xml:space="preserve"> stay order </w:t>
      </w:r>
      <w:r>
        <w:t xml:space="preserve">was in tension with </w:t>
      </w:r>
      <w:r w:rsidRPr="007E3F23">
        <w:rPr>
          <w:i/>
          <w:iCs/>
        </w:rPr>
        <w:t>Bowen</w:t>
      </w:r>
      <w:r>
        <w:t xml:space="preserve">, </w:t>
      </w:r>
      <w:r w:rsidRPr="007E3F23">
        <w:t xml:space="preserve">their dissents only underscore how unusual it would be to treat such a summary order as overruling a fully argued merits precedent. Both Justices criticized the lack of full briefing, oral argument, and deliberation, and described the majority’s reasoning as underdeveloped at best. </w:t>
      </w:r>
      <w:r w:rsidRPr="00666095">
        <w:rPr>
          <w:i/>
          <w:iCs/>
        </w:rPr>
        <w:t>DOE</w:t>
      </w:r>
      <w:r w:rsidRPr="007E3F23">
        <w:t xml:space="preserve">, 145 S. Ct. </w:t>
      </w:r>
      <w:r w:rsidR="00666095" w:rsidRPr="007E3F23">
        <w:t xml:space="preserve">at </w:t>
      </w:r>
      <w:r w:rsidR="00666095">
        <w:t>969</w:t>
      </w:r>
      <w:r w:rsidR="00666095" w:rsidRPr="007E3F23">
        <w:t xml:space="preserve"> </w:t>
      </w:r>
      <w:r w:rsidR="00666095" w:rsidRPr="007E3F23">
        <w:lastRenderedPageBreak/>
        <w:t>(Kagan, J., dissenting)</w:t>
      </w:r>
      <w:r w:rsidR="00666095">
        <w:t xml:space="preserve">; </w:t>
      </w:r>
      <w:r w:rsidR="00666095" w:rsidRPr="00666095">
        <w:rPr>
          <w:i/>
          <w:iCs/>
        </w:rPr>
        <w:t>id.</w:t>
      </w:r>
      <w:r w:rsidR="00666095">
        <w:t xml:space="preserve"> </w:t>
      </w:r>
      <w:r w:rsidRPr="007E3F23">
        <w:t xml:space="preserve">at 978 n.7 (Jackson, J., dissenting). Their critique confirms the broader point: this emergency order does not—and could not—displace </w:t>
      </w:r>
      <w:r w:rsidRPr="00666095">
        <w:rPr>
          <w:i/>
          <w:iCs/>
        </w:rPr>
        <w:t>Bowen</w:t>
      </w:r>
      <w:r w:rsidRPr="007E3F23">
        <w:t>’s binding statutory holding.</w:t>
      </w:r>
    </w:p>
    <w:p w14:paraId="40FC4255" w14:textId="28CE1472" w:rsidR="004F165D" w:rsidRPr="00D61723" w:rsidRDefault="00B05D6F" w:rsidP="00D61723">
      <w:pPr>
        <w:pStyle w:val="Body"/>
        <w:rPr>
          <w:i/>
          <w:iCs/>
        </w:rPr>
      </w:pPr>
      <w:r w:rsidRPr="00D61723">
        <w:t xml:space="preserve">Most federal courts to consider the </w:t>
      </w:r>
      <w:r w:rsidRPr="00511E40">
        <w:rPr>
          <w:i/>
          <w:iCs/>
        </w:rPr>
        <w:t>DOE</w:t>
      </w:r>
      <w:r w:rsidRPr="00D61723">
        <w:t xml:space="preserve"> order have concluded that it has no binding precedential effect</w:t>
      </w:r>
      <w:r>
        <w:t>.</w:t>
      </w:r>
      <w:r>
        <w:rPr>
          <w:rStyle w:val="FootnoteReference"/>
        </w:rPr>
        <w:footnoteReference w:id="5"/>
      </w:r>
      <w:r>
        <w:t xml:space="preserve"> T</w:t>
      </w:r>
      <w:r w:rsidR="007E3F23" w:rsidRPr="007E3F23">
        <w:t xml:space="preserve">he </w:t>
      </w:r>
      <w:r w:rsidR="007E3F23" w:rsidRPr="00666095">
        <w:rPr>
          <w:i/>
          <w:iCs/>
        </w:rPr>
        <w:t>DOE</w:t>
      </w:r>
      <w:r w:rsidR="007E3F23" w:rsidRPr="007E3F23">
        <w:t xml:space="preserve"> order </w:t>
      </w:r>
      <w:r>
        <w:t xml:space="preserve">is </w:t>
      </w:r>
      <w:r w:rsidR="007E3F23" w:rsidRPr="007E3F23">
        <w:t>a narrow, fact-</w:t>
      </w:r>
      <w:r w:rsidR="007E3F23" w:rsidRPr="007E3F23">
        <w:lastRenderedPageBreak/>
        <w:t>specific application of the Tucker Act line of cases in an emergency posture—not a basis to unsettle decades of statutory stare decisis.</w:t>
      </w:r>
    </w:p>
    <w:p w14:paraId="133963ED" w14:textId="49EA9C63" w:rsidR="00567556" w:rsidRPr="00D060B3" w:rsidRDefault="00102341" w:rsidP="006F1D6B">
      <w:pPr>
        <w:pStyle w:val="Body"/>
      </w:pPr>
      <w:r w:rsidRPr="00102341">
        <w:t xml:space="preserve">In sum, the </w:t>
      </w:r>
      <w:r w:rsidR="006F1D6B">
        <w:t>short</w:t>
      </w:r>
      <w:r w:rsidR="006F1D6B" w:rsidRPr="00102341">
        <w:t xml:space="preserve"> </w:t>
      </w:r>
      <w:r w:rsidRPr="00102341">
        <w:t xml:space="preserve">per curiam </w:t>
      </w:r>
      <w:r w:rsidRPr="00102341">
        <w:rPr>
          <w:i/>
          <w:iCs/>
        </w:rPr>
        <w:t>DOE</w:t>
      </w:r>
      <w:r w:rsidRPr="00102341">
        <w:t xml:space="preserve"> stay order did not—and could not—</w:t>
      </w:r>
      <w:r w:rsidRPr="005A76AF">
        <w:rPr>
          <w:i/>
          <w:iCs/>
        </w:rPr>
        <w:t>sub silentio</w:t>
      </w:r>
      <w:r w:rsidRPr="00102341">
        <w:t xml:space="preserve"> overturn </w:t>
      </w:r>
      <w:r w:rsidRPr="00102341">
        <w:rPr>
          <w:i/>
          <w:iCs/>
        </w:rPr>
        <w:t>Bowen</w:t>
      </w:r>
      <w:r w:rsidRPr="00102341">
        <w:t xml:space="preserve">, a fully argued merits decision that stands as binding statutory precedent entitled to the heightened force of stare decisis reserved for statutory interpretation. Overruling </w:t>
      </w:r>
      <w:r w:rsidRPr="00102341">
        <w:rPr>
          <w:i/>
          <w:iCs/>
        </w:rPr>
        <w:t>Bowen</w:t>
      </w:r>
      <w:r w:rsidRPr="00102341">
        <w:t xml:space="preserve"> in this manner would have defied every principle of stare decisis </w:t>
      </w:r>
      <w:r w:rsidR="006F1D6B">
        <w:t>the Supreme Court has reinforced over many years</w:t>
      </w:r>
      <w:r w:rsidRPr="00102341">
        <w:t xml:space="preserve"> and undermined the stability and predictability that doctrine exists to protect.</w:t>
      </w:r>
    </w:p>
    <w:p w14:paraId="59F8964D" w14:textId="5D209B53" w:rsidR="003A38EE" w:rsidRDefault="002C6E59" w:rsidP="0056763A">
      <w:pPr>
        <w:pStyle w:val="Heading2"/>
      </w:pPr>
      <w:bookmarkStart w:id="29" w:name="_Toc202911628"/>
      <w:r w:rsidRPr="002C6E59">
        <w:rPr>
          <w:i/>
          <w:iCs/>
        </w:rPr>
        <w:t>Department of Education</w:t>
      </w:r>
      <w:r>
        <w:t xml:space="preserve"> </w:t>
      </w:r>
      <w:r w:rsidR="00364CFA">
        <w:t xml:space="preserve">is </w:t>
      </w:r>
      <w:r w:rsidR="0096083F">
        <w:t xml:space="preserve">also </w:t>
      </w:r>
      <w:r w:rsidR="00364CFA">
        <w:t>inapposite because</w:t>
      </w:r>
      <w:r w:rsidR="00226D59">
        <w:t xml:space="preserve"> the </w:t>
      </w:r>
      <w:r w:rsidR="0056763A" w:rsidRPr="00B23A67">
        <w:rPr>
          <w:i/>
          <w:iCs/>
        </w:rPr>
        <w:t>Community Legal Services</w:t>
      </w:r>
      <w:r w:rsidR="0056763A">
        <w:t xml:space="preserve"> </w:t>
      </w:r>
      <w:r w:rsidR="00F81E16">
        <w:t>P</w:t>
      </w:r>
      <w:r w:rsidR="00226D59">
        <w:t>laintiffs do not</w:t>
      </w:r>
      <w:r w:rsidR="00C45925">
        <w:t xml:space="preserve"> </w:t>
      </w:r>
      <w:r w:rsidR="00503BE8">
        <w:t>and could not</w:t>
      </w:r>
      <w:r w:rsidR="00C45925">
        <w:t xml:space="preserve"> </w:t>
      </w:r>
      <w:r w:rsidR="00226D59">
        <w:t>seek past monetary relief</w:t>
      </w:r>
      <w:r w:rsidR="005F5307">
        <w:t>—</w:t>
      </w:r>
      <w:r w:rsidR="00503BE8">
        <w:t>only prospective compliance with federal law</w:t>
      </w:r>
      <w:r w:rsidR="003E7305" w:rsidRPr="003E7305">
        <w:t>.</w:t>
      </w:r>
      <w:bookmarkEnd w:id="29"/>
    </w:p>
    <w:p w14:paraId="546CCC42" w14:textId="1FC3C6A1" w:rsidR="001E7278" w:rsidRDefault="006C42DB" w:rsidP="00070BE0">
      <w:pPr>
        <w:pStyle w:val="Body"/>
      </w:pPr>
      <w:bookmarkStart w:id="30" w:name="_Hlk202800947"/>
      <w:r>
        <w:t xml:space="preserve">The unique facts of </w:t>
      </w:r>
      <w:r w:rsidRPr="006C42DB">
        <w:rPr>
          <w:i/>
          <w:iCs/>
        </w:rPr>
        <w:t>DOE</w:t>
      </w:r>
      <w:r>
        <w:t xml:space="preserve"> also make it inapplicable here. The </w:t>
      </w:r>
      <w:r w:rsidR="00A54E48" w:rsidRPr="00A54E48">
        <w:rPr>
          <w:i/>
          <w:iCs/>
        </w:rPr>
        <w:t>DOE</w:t>
      </w:r>
      <w:r w:rsidR="00A54E48">
        <w:t xml:space="preserve"> </w:t>
      </w:r>
      <w:r>
        <w:t xml:space="preserve">plaintiffs </w:t>
      </w:r>
      <w:r w:rsidRPr="006C42DB">
        <w:t>were</w:t>
      </w:r>
      <w:r w:rsidR="00070BE0" w:rsidRPr="00070BE0">
        <w:t xml:space="preserve"> states that were direct recipients of federal educational grants</w:t>
      </w:r>
      <w:r w:rsidR="00070BE0">
        <w:t xml:space="preserve">, </w:t>
      </w:r>
      <w:r w:rsidR="00070BE0" w:rsidRPr="00070BE0">
        <w:t>either themselves or through their public schools.</w:t>
      </w:r>
      <w:r w:rsidR="00364CFA">
        <w:t xml:space="preserve"> </w:t>
      </w:r>
      <w:r w:rsidR="00070BE0" w:rsidRPr="00070BE0">
        <w:rPr>
          <w:i/>
          <w:iCs/>
        </w:rPr>
        <w:t>California v. U.S. Dep’t of Educ.</w:t>
      </w:r>
      <w:r w:rsidR="00070BE0">
        <w:t>, 769 F. Supp. 3d 72, 76 n.2 (D. Mass. 2025)</w:t>
      </w:r>
      <w:r w:rsidR="001E7278">
        <w:t xml:space="preserve"> (“</w:t>
      </w:r>
      <w:r w:rsidR="001E7278" w:rsidRPr="001E7278">
        <w:rPr>
          <w:i/>
          <w:iCs/>
        </w:rPr>
        <w:t>DOE</w:t>
      </w:r>
      <w:r w:rsidR="001E7278">
        <w:t>”)</w:t>
      </w:r>
      <w:r w:rsidR="00070BE0">
        <w:t xml:space="preserve">; Complaint, </w:t>
      </w:r>
      <w:r w:rsidR="00070BE0" w:rsidRPr="00070BE0">
        <w:rPr>
          <w:i/>
          <w:iCs/>
        </w:rPr>
        <w:t>California v. U.S. Dep’t of Educ.</w:t>
      </w:r>
      <w:r w:rsidR="00070BE0">
        <w:t xml:space="preserve">, No. </w:t>
      </w:r>
      <w:r w:rsidR="00070BE0" w:rsidRPr="00070BE0">
        <w:t>1:25-cv-10548-MJJ</w:t>
      </w:r>
      <w:r w:rsidR="00070BE0">
        <w:t xml:space="preserve"> (D. </w:t>
      </w:r>
      <w:r w:rsidR="00070BE0">
        <w:lastRenderedPageBreak/>
        <w:t>Mass. Mar. 6, 2025) (“</w:t>
      </w:r>
      <w:r w:rsidR="00070BE0" w:rsidRPr="00070BE0">
        <w:rPr>
          <w:i/>
          <w:iCs/>
        </w:rPr>
        <w:t>DOE</w:t>
      </w:r>
      <w:r w:rsidR="00070BE0">
        <w:t xml:space="preserve"> </w:t>
      </w:r>
      <w:proofErr w:type="spellStart"/>
      <w:r w:rsidR="00070BE0">
        <w:t>Compl</w:t>
      </w:r>
      <w:proofErr w:type="spellEnd"/>
      <w:r w:rsidR="004864D5">
        <w:t>.</w:t>
      </w:r>
      <w:r w:rsidR="00070BE0">
        <w:t>”)</w:t>
      </w:r>
      <w:r w:rsidR="00E13286">
        <w:t xml:space="preserve"> ¶¶ 7, 59–85, 145</w:t>
      </w:r>
      <w:r w:rsidR="00070BE0">
        <w:t xml:space="preserve">. </w:t>
      </w:r>
      <w:r w:rsidR="00D94773" w:rsidRPr="00D94773">
        <w:t>The plaintiff states asserted that the federal government wrongfully terminated these grants, violating the APA.</w:t>
      </w:r>
      <w:r w:rsidR="00D94773">
        <w:t xml:space="preserve"> </w:t>
      </w:r>
      <w:r w:rsidR="004864D5">
        <w:t>Among other things, t</w:t>
      </w:r>
      <w:r w:rsidR="004864D5" w:rsidRPr="004864D5">
        <w:t>hey requested that the district court vacate and set aside the termination of all previously awarded grants</w:t>
      </w:r>
      <w:r w:rsidR="004864D5">
        <w:t xml:space="preserve">. </w:t>
      </w:r>
      <w:r w:rsidR="004864D5" w:rsidRPr="001E7278">
        <w:rPr>
          <w:i/>
          <w:iCs/>
        </w:rPr>
        <w:t>DOE</w:t>
      </w:r>
      <w:r w:rsidR="004864D5">
        <w:t xml:space="preserve"> </w:t>
      </w:r>
      <w:proofErr w:type="spellStart"/>
      <w:r w:rsidR="004864D5">
        <w:t>Compl</w:t>
      </w:r>
      <w:proofErr w:type="spellEnd"/>
      <w:r w:rsidR="004864D5">
        <w:t>. at 51 ¶ </w:t>
      </w:r>
      <w:proofErr w:type="spellStart"/>
      <w:r w:rsidR="004864D5">
        <w:t>i</w:t>
      </w:r>
      <w:proofErr w:type="spellEnd"/>
      <w:r w:rsidR="004864D5">
        <w:t>.</w:t>
      </w:r>
    </w:p>
    <w:p w14:paraId="0A4BB36A" w14:textId="714A9310" w:rsidR="00364CFA" w:rsidRDefault="00E34F58" w:rsidP="00A9514C">
      <w:pPr>
        <w:pStyle w:val="Body"/>
      </w:pPr>
      <w:r>
        <w:t>The district court</w:t>
      </w:r>
      <w:r w:rsidR="001E7278">
        <w:t xml:space="preserve"> issued a temporary restraining order mandating, among other things, that the Government “</w:t>
      </w:r>
      <w:r w:rsidRPr="00E34F58">
        <w:t xml:space="preserve">immediately restore Plaintiff States to the pre-existing status quo prior to the termination under all previously awarded </w:t>
      </w:r>
      <w:r w:rsidR="001E7278">
        <w:t>…</w:t>
      </w:r>
      <w:r w:rsidRPr="00E34F58">
        <w:t xml:space="preserve"> grants for recipients in Plaintiff States</w:t>
      </w:r>
      <w:r w:rsidR="001E7278">
        <w:t>[.]</w:t>
      </w:r>
      <w:r>
        <w:t xml:space="preserve">” </w:t>
      </w:r>
      <w:r w:rsidR="001E7278" w:rsidRPr="001E7278">
        <w:rPr>
          <w:i/>
          <w:iCs/>
        </w:rPr>
        <w:t>DOE</w:t>
      </w:r>
      <w:r w:rsidR="001E7278">
        <w:t xml:space="preserve">, 769 F. Supp. 3d at 80 ¶ 1. </w:t>
      </w:r>
      <w:r w:rsidR="001E7278" w:rsidRPr="001E7278">
        <w:t xml:space="preserve">The U.S. Supreme Court subsequently characterized this order as a TRO that both enjoined the government from terminating various education-related grants and affirmatively required the government to pay out past-due grant obligations and continue payments as they became due. </w:t>
      </w:r>
      <w:r w:rsidR="001E7278">
        <w:rPr>
          <w:i/>
          <w:iCs/>
        </w:rPr>
        <w:t>DOE</w:t>
      </w:r>
      <w:r w:rsidR="001E7278" w:rsidRPr="001E7278">
        <w:t xml:space="preserve">, 145 S. Ct. </w:t>
      </w:r>
      <w:r w:rsidR="001E7278">
        <w:t>at</w:t>
      </w:r>
      <w:r w:rsidR="001E7278" w:rsidRPr="001E7278">
        <w:t xml:space="preserve"> 968.</w:t>
      </w:r>
      <w:bookmarkEnd w:id="30"/>
      <w:r w:rsidR="00A9514C">
        <w:t xml:space="preserve"> </w:t>
      </w:r>
      <w:r w:rsidR="00166DB6">
        <w:t xml:space="preserve">Because the district court required the government to pay out past-due grants, the Supreme Court </w:t>
      </w:r>
      <w:r w:rsidR="003C1B0D" w:rsidRPr="003C1B0D">
        <w:t>conclude</w:t>
      </w:r>
      <w:r w:rsidR="00166DB6">
        <w:t>d</w:t>
      </w:r>
      <w:r w:rsidR="003C1B0D" w:rsidRPr="003C1B0D">
        <w:t xml:space="preserve"> the </w:t>
      </w:r>
      <w:r w:rsidR="003C1B0D" w:rsidRPr="00166DB6">
        <w:rPr>
          <w:i/>
          <w:iCs/>
        </w:rPr>
        <w:t>DOE</w:t>
      </w:r>
      <w:r w:rsidR="003C1B0D" w:rsidRPr="003C1B0D">
        <w:t xml:space="preserve"> order likely enforced a contractual obligation for the payment of money, and thus the Court of Federal Claims </w:t>
      </w:r>
      <w:r w:rsidR="00166DB6">
        <w:t xml:space="preserve">and not the district court had </w:t>
      </w:r>
      <w:r w:rsidR="003C1B0D" w:rsidRPr="003C1B0D">
        <w:t>subject-matter jurisdiction.</w:t>
      </w:r>
      <w:r w:rsidR="00F00B8C">
        <w:t xml:space="preserve"> </w:t>
      </w:r>
      <w:r w:rsidR="00F00B8C" w:rsidRPr="00F00B8C">
        <w:rPr>
          <w:i/>
          <w:iCs/>
        </w:rPr>
        <w:t>See id.</w:t>
      </w:r>
    </w:p>
    <w:p w14:paraId="1270C93D" w14:textId="47FA2479" w:rsidR="00BB2E54" w:rsidRPr="00515DC6" w:rsidRDefault="00B23A67">
      <w:pPr>
        <w:pStyle w:val="Body"/>
      </w:pPr>
      <w:r>
        <w:lastRenderedPageBreak/>
        <w:t xml:space="preserve">The </w:t>
      </w:r>
      <w:r w:rsidRPr="00B23A67">
        <w:rPr>
          <w:i/>
          <w:iCs/>
        </w:rPr>
        <w:t>Community Legal Services</w:t>
      </w:r>
      <w:r>
        <w:t xml:space="preserve"> case differs </w:t>
      </w:r>
      <w:r w:rsidR="00707EE1">
        <w:t xml:space="preserve">from </w:t>
      </w:r>
      <w:r w:rsidR="00707EE1" w:rsidRPr="00707EE1">
        <w:rPr>
          <w:i/>
          <w:iCs/>
        </w:rPr>
        <w:t>DOE</w:t>
      </w:r>
      <w:r w:rsidR="00707EE1">
        <w:t xml:space="preserve"> </w:t>
      </w:r>
      <w:r>
        <w:t xml:space="preserve">in at least </w:t>
      </w:r>
      <w:r w:rsidR="00375092">
        <w:t>four</w:t>
      </w:r>
      <w:r>
        <w:t xml:space="preserve"> material respects.</w:t>
      </w:r>
      <w:r w:rsidR="0056763A">
        <w:rPr>
          <w:b/>
          <w:bCs/>
          <w:i/>
          <w:iCs/>
        </w:rPr>
        <w:t xml:space="preserve"> </w:t>
      </w:r>
      <w:r w:rsidRPr="005A76AF">
        <w:t>First</w:t>
      </w:r>
      <w:r>
        <w:t xml:space="preserve">, </w:t>
      </w:r>
      <w:r w:rsidR="00707EE1" w:rsidRPr="00707EE1">
        <w:t xml:space="preserve">unlike </w:t>
      </w:r>
      <w:r w:rsidR="00707EE1" w:rsidRPr="00707EE1">
        <w:rPr>
          <w:i/>
          <w:iCs/>
        </w:rPr>
        <w:t>DOE</w:t>
      </w:r>
      <w:r w:rsidR="00707EE1" w:rsidRPr="00707EE1">
        <w:t xml:space="preserve">, </w:t>
      </w:r>
      <w:r w:rsidR="00707EE1" w:rsidRPr="00707EE1">
        <w:rPr>
          <w:i/>
          <w:iCs/>
        </w:rPr>
        <w:t>Community Legal Services</w:t>
      </w:r>
      <w:r w:rsidR="00707EE1" w:rsidRPr="00707EE1">
        <w:t xml:space="preserve"> does not involve a dispute over grant money but rather concerns the availability of legal representation for unaccompanied minors alleged to be undocumented and facing deportation—a core element of the </w:t>
      </w:r>
      <w:r w:rsidR="00F81E16">
        <w:t>P</w:t>
      </w:r>
      <w:r w:rsidR="00707EE1" w:rsidRPr="00707EE1">
        <w:t xml:space="preserve">laintiffs’ organizational mission. </w:t>
      </w:r>
      <w:proofErr w:type="spellStart"/>
      <w:r w:rsidR="00707EE1" w:rsidRPr="00707EE1">
        <w:t>Compl</w:t>
      </w:r>
      <w:proofErr w:type="spellEnd"/>
      <w:r w:rsidR="00707EE1">
        <w:t>.</w:t>
      </w:r>
      <w:r w:rsidR="00707EE1" w:rsidRPr="00707EE1">
        <w:t xml:space="preserve"> ¶¶ 23, 35. </w:t>
      </w:r>
      <w:r w:rsidR="003A1CA7">
        <w:t>P</w:t>
      </w:r>
      <w:r w:rsidR="00707EE1" w:rsidRPr="00707EE1">
        <w:t xml:space="preserve">laintiffs emphasize that their shared mission is to “expand access to legal information and services for unaccompanied children, and to ensure that as many unaccompanied children as possible are represented by a lawyer.” </w:t>
      </w:r>
      <w:r w:rsidR="00707EE1" w:rsidRPr="00707EE1">
        <w:rPr>
          <w:i/>
          <w:iCs/>
        </w:rPr>
        <w:t>Id.</w:t>
      </w:r>
      <w:r w:rsidR="00707EE1" w:rsidRPr="00707EE1">
        <w:t xml:space="preserve"> ¶ 23. Plaintiffs have long answered Congress’s call to provide these critical legal services, collectively representing thousands of unaccompanied minors in removal proceedings or applying affirmatively for immigration relief. </w:t>
      </w:r>
      <w:r w:rsidR="00707EE1" w:rsidRPr="00707EE1">
        <w:rPr>
          <w:i/>
          <w:iCs/>
        </w:rPr>
        <w:t>Id.</w:t>
      </w:r>
      <w:r w:rsidR="00707EE1" w:rsidRPr="00707EE1">
        <w:t xml:space="preserve"> ¶ 35. The challenged Cancellation Order undermines plaintiffs’ ability to fulfill their organizational missions and ethical obligations by limiting the legal representation mandated by law for these vulnerable children. </w:t>
      </w:r>
      <w:r w:rsidR="00707EE1" w:rsidRPr="00707EE1">
        <w:rPr>
          <w:i/>
          <w:iCs/>
        </w:rPr>
        <w:t>Id.</w:t>
      </w:r>
      <w:r w:rsidR="0056751B">
        <w:t xml:space="preserve">; </w:t>
      </w:r>
      <w:r w:rsidR="0056751B" w:rsidRPr="0056751B">
        <w:rPr>
          <w:i/>
          <w:iCs/>
        </w:rPr>
        <w:t>cf. Climate United Fund v. Citibank, N.A.</w:t>
      </w:r>
      <w:r w:rsidR="0056751B">
        <w:t xml:space="preserve">, No. 25-CV-698 (TSC), 2025 WL 1131412, at *12 (D.D.C. Apr. 16, 2025) (noting the plaintiff coalitions were created to implement Congress’ mandate under the IRA, unlike </w:t>
      </w:r>
      <w:r w:rsidR="0056751B">
        <w:lastRenderedPageBreak/>
        <w:t xml:space="preserve">the State plaintiffs in </w:t>
      </w:r>
      <w:r w:rsidR="0056751B" w:rsidRPr="008C326A">
        <w:rPr>
          <w:i/>
          <w:iCs/>
        </w:rPr>
        <w:t>DOE</w:t>
      </w:r>
      <w:r w:rsidR="0056751B">
        <w:t xml:space="preserve"> who could continue their educational missions without the terminated federal funding).</w:t>
      </w:r>
      <w:r w:rsidR="00515DC6" w:rsidRPr="003A1CA7">
        <w:rPr>
          <w:rStyle w:val="FootnoteReference"/>
        </w:rPr>
        <w:footnoteReference w:id="6"/>
      </w:r>
    </w:p>
    <w:p w14:paraId="5D985192" w14:textId="35B3014D" w:rsidR="00356027" w:rsidRDefault="00B23A67">
      <w:pPr>
        <w:pStyle w:val="Body"/>
      </w:pPr>
      <w:r w:rsidRPr="005A76AF">
        <w:t>Second</w:t>
      </w:r>
      <w:r>
        <w:t xml:space="preserve">, </w:t>
      </w:r>
      <w:r w:rsidR="00356027" w:rsidRPr="00356027">
        <w:t xml:space="preserve">obtaining money—such as grant funding—is not the </w:t>
      </w:r>
      <w:r w:rsidR="003240A2" w:rsidRPr="003240A2">
        <w:rPr>
          <w:i/>
          <w:iCs/>
        </w:rPr>
        <w:t>CLS</w:t>
      </w:r>
      <w:r w:rsidR="003240A2">
        <w:t xml:space="preserve"> Plaintiffs’ </w:t>
      </w:r>
      <w:r w:rsidR="00356027" w:rsidRPr="00356027">
        <w:t xml:space="preserve">stated objective. Rather, funding is </w:t>
      </w:r>
      <w:r w:rsidR="00356027">
        <w:t>just</w:t>
      </w:r>
      <w:r w:rsidR="00356027" w:rsidRPr="00356027">
        <w:t xml:space="preserve"> one means to achieve the core purpose articulated in the complaint: securing the legal representation for unaccompanied minors guaranteed by statute and regulation, including the </w:t>
      </w:r>
      <w:r w:rsidR="00F81E16">
        <w:t>APA</w:t>
      </w:r>
      <w:r w:rsidR="00356027" w:rsidRPr="00356027">
        <w:t>, 5 U.S.C. §§ 702, 706</w:t>
      </w:r>
      <w:r w:rsidR="00356027">
        <w:t>,</w:t>
      </w:r>
      <w:r w:rsidR="00356027" w:rsidRPr="00356027">
        <w:t xml:space="preserve"> the William Wilberforce Trafficking Victims Protection Reauthorization Act of 2008 (“TVPRA”), 8 U.S.C. § 1232</w:t>
      </w:r>
      <w:r w:rsidR="00356027">
        <w:t>,</w:t>
      </w:r>
      <w:r w:rsidR="00356027" w:rsidRPr="00356027">
        <w:t xml:space="preserve"> and the 2024 Unaccompanied Children Program Foundational Rule (“Foundational Rule”), 89 Fed. Reg. 34384. Although monetary payments may result as a collateral consequence, this does not divest the district court of jurisdiction. </w:t>
      </w:r>
      <w:r w:rsidR="00356027" w:rsidRPr="00356027">
        <w:rPr>
          <w:i/>
          <w:iCs/>
        </w:rPr>
        <w:t>Bowen</w:t>
      </w:r>
      <w:r w:rsidR="00356027" w:rsidRPr="00356027">
        <w:t xml:space="preserve">, 487 U.S. </w:t>
      </w:r>
      <w:r w:rsidR="000C68D6">
        <w:t>at</w:t>
      </w:r>
      <w:r w:rsidR="00356027" w:rsidRPr="00356027">
        <w:t xml:space="preserve"> </w:t>
      </w:r>
      <w:r w:rsidR="00356027" w:rsidRPr="00356027">
        <w:lastRenderedPageBreak/>
        <w:t>909–10.</w:t>
      </w:r>
      <w:r w:rsidR="00356027">
        <w:t xml:space="preserve"> </w:t>
      </w:r>
      <w:r w:rsidR="00356027" w:rsidRPr="00356027">
        <w:t xml:space="preserve">Under section 702 of the APA, the district court </w:t>
      </w:r>
      <w:r w:rsidR="00356027">
        <w:t>has</w:t>
      </w:r>
      <w:r w:rsidR="00356027" w:rsidRPr="00356027">
        <w:t xml:space="preserve"> jurisdiction to grant complete and appropriate relief when reviewing agency actions. </w:t>
      </w:r>
      <w:r w:rsidR="00356027" w:rsidRPr="00356027">
        <w:rPr>
          <w:i/>
          <w:iCs/>
        </w:rPr>
        <w:t>Id.</w:t>
      </w:r>
      <w:r w:rsidR="00356027">
        <w:t xml:space="preserve"> at 91</w:t>
      </w:r>
      <w:r w:rsidR="00356027" w:rsidRPr="00356027">
        <w:t>0 &amp; n.48.</w:t>
      </w:r>
    </w:p>
    <w:p w14:paraId="6564C62C" w14:textId="54AF170B" w:rsidR="008C326A" w:rsidRPr="00E9769C" w:rsidRDefault="00D6128A">
      <w:pPr>
        <w:pStyle w:val="Body"/>
      </w:pPr>
      <w:r w:rsidRPr="00D6128A">
        <w:t xml:space="preserve">In </w:t>
      </w:r>
      <w:r w:rsidRPr="00D6128A">
        <w:rPr>
          <w:i/>
          <w:iCs/>
        </w:rPr>
        <w:t>DOE</w:t>
      </w:r>
      <w:r w:rsidRPr="00D6128A">
        <w:t>,</w:t>
      </w:r>
      <w:r w:rsidR="002F24D3">
        <w:t xml:space="preserve"> to satisfy the district court’s order, the Government had to perform on the grant contracts. 769 F. Supp. 3d at 80 ¶ 1; </w:t>
      </w:r>
      <w:r w:rsidR="002F24D3" w:rsidRPr="002F24D3">
        <w:rPr>
          <w:i/>
          <w:iCs/>
        </w:rPr>
        <w:t>see</w:t>
      </w:r>
      <w:r w:rsidR="002F24D3">
        <w:t xml:space="preserve"> </w:t>
      </w:r>
      <w:r w:rsidR="002F24D3">
        <w:rPr>
          <w:i/>
          <w:iCs/>
        </w:rPr>
        <w:t>DOE</w:t>
      </w:r>
      <w:r w:rsidR="002F24D3" w:rsidRPr="001E7278">
        <w:t xml:space="preserve">, 145 S. Ct. </w:t>
      </w:r>
      <w:r w:rsidR="002F24D3">
        <w:t>at</w:t>
      </w:r>
      <w:r w:rsidR="002F24D3" w:rsidRPr="001E7278">
        <w:t xml:space="preserve"> 968.</w:t>
      </w:r>
      <w:r w:rsidR="00E9769C">
        <w:t xml:space="preserve"> </w:t>
      </w:r>
      <w:r w:rsidR="00E9769C" w:rsidRPr="00E9769C">
        <w:t>Here, by contrast, the district court explicitly identified alternative ways for the Administration to comply without reinstating the Acacia contracts. PI Order at 9–10.</w:t>
      </w:r>
      <w:r w:rsidR="00E9769C">
        <w:t xml:space="preserve"> </w:t>
      </w:r>
      <w:r w:rsidR="00E9769C" w:rsidRPr="00E9769C">
        <w:t xml:space="preserve">Performing under the Acacia contracts is </w:t>
      </w:r>
      <w:r w:rsidR="00E9769C">
        <w:t>just</w:t>
      </w:r>
      <w:r w:rsidR="00E9769C" w:rsidRPr="00E9769C">
        <w:t xml:space="preserve"> one of several possible methods by which the government can fulfill its obligations under the TVPRA and the Foundational Rule. </w:t>
      </w:r>
      <w:r w:rsidR="00E9769C" w:rsidRPr="00E9769C">
        <w:rPr>
          <w:i/>
          <w:iCs/>
        </w:rPr>
        <w:t>See id.</w:t>
      </w:r>
      <w:r w:rsidR="00E9769C" w:rsidRPr="00E9769C">
        <w:t xml:space="preserve"> For example, the government could satisfy its statutory and regulatory duties by funding providers other than Plaintiffs, hiring staff directly, or developing a different compliance plan consistent with these requirements. </w:t>
      </w:r>
      <w:r w:rsidR="00E9769C" w:rsidRPr="00E9769C">
        <w:rPr>
          <w:i/>
          <w:iCs/>
        </w:rPr>
        <w:t>See id.</w:t>
      </w:r>
      <w:r w:rsidR="00E9769C" w:rsidRPr="00E9769C">
        <w:t xml:space="preserve"> Plaintiffs</w:t>
      </w:r>
      <w:r w:rsidR="00E9769C">
        <w:t>’</w:t>
      </w:r>
      <w:r w:rsidR="00E9769C" w:rsidRPr="00E9769C">
        <w:t xml:space="preserve"> theory is not that their specific subcontracts must be paid, but rather that the government is legally obligated to ensure funding for representation in some form. </w:t>
      </w:r>
      <w:r w:rsidR="00527B74">
        <w:t xml:space="preserve">Thus, </w:t>
      </w:r>
      <w:r w:rsidR="00E9769C" w:rsidRPr="00E9769C">
        <w:t xml:space="preserve">Plaintiffs seek APA relief rather than contract enforcement, </w:t>
      </w:r>
      <w:r w:rsidR="0077570E">
        <w:t>reinforcing</w:t>
      </w:r>
      <w:r w:rsidR="0077570E" w:rsidRPr="00E9769C">
        <w:t xml:space="preserve"> </w:t>
      </w:r>
      <w:r w:rsidR="00E9769C" w:rsidRPr="00E9769C">
        <w:t>the district court</w:t>
      </w:r>
      <w:r w:rsidR="00E9769C">
        <w:t>’</w:t>
      </w:r>
      <w:r w:rsidR="00E9769C" w:rsidRPr="00E9769C">
        <w:t>s subject-matter jurisdiction.</w:t>
      </w:r>
      <w:r w:rsidR="008C326A">
        <w:t xml:space="preserve"> </w:t>
      </w:r>
      <w:r w:rsidR="008C326A" w:rsidRPr="008C326A">
        <w:rPr>
          <w:i/>
          <w:iCs/>
        </w:rPr>
        <w:t>See, e.g.</w:t>
      </w:r>
      <w:r w:rsidR="008C326A">
        <w:t xml:space="preserve">, </w:t>
      </w:r>
      <w:r w:rsidR="008C326A" w:rsidRPr="008C326A">
        <w:rPr>
          <w:i/>
          <w:iCs/>
        </w:rPr>
        <w:t>S.F. Unified</w:t>
      </w:r>
      <w:r w:rsidR="008C326A">
        <w:t xml:space="preserve">, 2025 WL 1180729, at *9 (distinguishing </w:t>
      </w:r>
      <w:r w:rsidR="008C326A" w:rsidRPr="008C326A">
        <w:rPr>
          <w:i/>
          <w:iCs/>
        </w:rPr>
        <w:t>DOE</w:t>
      </w:r>
      <w:r w:rsidR="008C326A">
        <w:t xml:space="preserve"> </w:t>
      </w:r>
      <w:r w:rsidR="008C326A">
        <w:lastRenderedPageBreak/>
        <w:t xml:space="preserve">because the </w:t>
      </w:r>
      <w:r w:rsidR="008C326A" w:rsidRPr="008C326A">
        <w:rPr>
          <w:i/>
          <w:iCs/>
        </w:rPr>
        <w:t xml:space="preserve">S.F. </w:t>
      </w:r>
      <w:r w:rsidR="008C326A">
        <w:t xml:space="preserve">plaintiffs alleged the grant terminations violated statutory and constitutional rights; the court could grant relief without even reading the grant agreements) (collecting cases). </w:t>
      </w:r>
    </w:p>
    <w:p w14:paraId="6220971F" w14:textId="48577BC0" w:rsidR="001B6517" w:rsidRDefault="00B23A67" w:rsidP="00463F50">
      <w:pPr>
        <w:pStyle w:val="Body"/>
      </w:pPr>
      <w:r w:rsidRPr="005A76AF">
        <w:t>Third</w:t>
      </w:r>
      <w:r>
        <w:t xml:space="preserve">, </w:t>
      </w:r>
      <w:r w:rsidR="00463F50" w:rsidRPr="00463F50">
        <w:t xml:space="preserve">unlike the plaintiffs in </w:t>
      </w:r>
      <w:r w:rsidR="00463F50" w:rsidRPr="00463F50">
        <w:rPr>
          <w:i/>
          <w:iCs/>
        </w:rPr>
        <w:t>DOE</w:t>
      </w:r>
      <w:r w:rsidR="00463F50" w:rsidRPr="00463F50">
        <w:t xml:space="preserve">, Plaintiffs here do not seek payment of any previously owed funds. </w:t>
      </w:r>
      <w:r w:rsidR="00463F50" w:rsidRPr="00463F50">
        <w:rPr>
          <w:i/>
          <w:iCs/>
        </w:rPr>
        <w:t>Cf. DOE</w:t>
      </w:r>
      <w:r w:rsidR="00463F50" w:rsidRPr="00463F50">
        <w:t xml:space="preserve"> </w:t>
      </w:r>
      <w:proofErr w:type="spellStart"/>
      <w:r w:rsidR="00463F50" w:rsidRPr="00463F50">
        <w:t>Compl</w:t>
      </w:r>
      <w:proofErr w:type="spellEnd"/>
      <w:r w:rsidR="00463F50" w:rsidRPr="00463F50">
        <w:t xml:space="preserve">. at 51 ¶ </w:t>
      </w:r>
      <w:proofErr w:type="spellStart"/>
      <w:r w:rsidR="00463F50" w:rsidRPr="00463F50">
        <w:t>i</w:t>
      </w:r>
      <w:proofErr w:type="spellEnd"/>
      <w:r w:rsidR="00463F50" w:rsidRPr="00463F50">
        <w:t xml:space="preserve">. Instead, the relief they request is exclusively prospective, focused solely on maintaining ongoing performance. </w:t>
      </w:r>
      <w:r w:rsidR="00463F50" w:rsidRPr="00463F50">
        <w:rPr>
          <w:i/>
          <w:iCs/>
        </w:rPr>
        <w:t>CLS</w:t>
      </w:r>
      <w:r w:rsidR="00463F50" w:rsidRPr="00463F50">
        <w:t xml:space="preserve"> </w:t>
      </w:r>
      <w:proofErr w:type="spellStart"/>
      <w:r w:rsidR="00463F50" w:rsidRPr="00463F50">
        <w:t>Compl</w:t>
      </w:r>
      <w:proofErr w:type="spellEnd"/>
      <w:r w:rsidR="00463F50" w:rsidRPr="00463F50">
        <w:t>. at 39–40. Consistent with that request, the district court ordered prospective relief only, providing that:</w:t>
      </w:r>
      <w:r w:rsidR="00463F50">
        <w:t xml:space="preserve"> “</w:t>
      </w:r>
      <w:r w:rsidR="00463F50" w:rsidRPr="00463F50">
        <w:t xml:space="preserve">Defendants are </w:t>
      </w:r>
      <w:r w:rsidR="009E169B">
        <w:t>enjoined</w:t>
      </w:r>
      <w:r w:rsidR="00463F50" w:rsidRPr="00463F50">
        <w:t xml:space="preserve"> from withdrawing the services or funds provided by the Office of Refugee Resettlement (</w:t>
      </w:r>
      <w:r w:rsidR="00463F50">
        <w:t>‘</w:t>
      </w:r>
      <w:r w:rsidR="00463F50" w:rsidRPr="00463F50">
        <w:t>ORR</w:t>
      </w:r>
      <w:r w:rsidR="00463F50">
        <w:t>’</w:t>
      </w:r>
      <w:r w:rsidR="00463F50" w:rsidRPr="00463F50">
        <w:t xml:space="preserve">) as of March 20, 2025, under the </w:t>
      </w:r>
      <w:r w:rsidR="00463F50">
        <w:t>[</w:t>
      </w:r>
      <w:r w:rsidR="00463F50" w:rsidRPr="00463F50">
        <w:t>TVPRA</w:t>
      </w:r>
      <w:r w:rsidR="00463F50">
        <w:t>]</w:t>
      </w:r>
      <w:r w:rsidR="00463F50" w:rsidRPr="00463F50">
        <w:t xml:space="preserve"> and ORR’s Foundational Rule, </w:t>
      </w:r>
      <w:r w:rsidR="00463F50">
        <w:t xml:space="preserve">… </w:t>
      </w:r>
      <w:r w:rsidR="00463F50" w:rsidRPr="00463F50">
        <w:t>particularly ORR’s provision of funds for direct legal representation services to unaccompanied children. This injunction precludes cutting off access to congressionally appropriated funding for its duration</w:t>
      </w:r>
      <w:r w:rsidR="00463F50">
        <w:t xml:space="preserve">.” PI order at </w:t>
      </w:r>
      <w:r w:rsidR="00463F50" w:rsidRPr="00463F50">
        <w:t>28:10–14</w:t>
      </w:r>
      <w:r w:rsidR="009E169B">
        <w:t xml:space="preserve"> (capitalization regularized)</w:t>
      </w:r>
      <w:r w:rsidR="00463F50">
        <w:t>.</w:t>
      </w:r>
    </w:p>
    <w:p w14:paraId="5BC9DDAB" w14:textId="15CA2800" w:rsidR="00AA6272" w:rsidRDefault="00AF6687" w:rsidP="00AA6272">
      <w:pPr>
        <w:pStyle w:val="Body"/>
      </w:pPr>
      <w:r w:rsidRPr="00AF6687">
        <w:t xml:space="preserve">Thus, Plaintiffs here assert no back-pay claims but rather seek solely to preserve the </w:t>
      </w:r>
      <w:r>
        <w:t>G</w:t>
      </w:r>
      <w:r w:rsidRPr="00AF6687">
        <w:t>overnment</w:t>
      </w:r>
      <w:r>
        <w:t>’</w:t>
      </w:r>
      <w:r w:rsidRPr="00AF6687">
        <w:t>s continued compliance with its statutory and regulatory obligations</w:t>
      </w:r>
      <w:r w:rsidR="00C643C1">
        <w:t xml:space="preserve">, making </w:t>
      </w:r>
      <w:r w:rsidR="00C643C1" w:rsidRPr="00C643C1">
        <w:rPr>
          <w:i/>
          <w:iCs/>
        </w:rPr>
        <w:t>DOE</w:t>
      </w:r>
      <w:r w:rsidR="00C643C1">
        <w:t xml:space="preserve"> inapposite</w:t>
      </w:r>
      <w:r w:rsidRPr="00AF6687">
        <w:t>.</w:t>
      </w:r>
      <w:r w:rsidR="00C52F7F">
        <w:t xml:space="preserve"> </w:t>
      </w:r>
      <w:r w:rsidR="00C52F7F" w:rsidRPr="00C52F7F">
        <w:rPr>
          <w:i/>
          <w:iCs/>
        </w:rPr>
        <w:t>See, e.g.</w:t>
      </w:r>
      <w:r w:rsidR="00C52F7F">
        <w:t xml:space="preserve">, </w:t>
      </w:r>
      <w:r w:rsidR="00422369">
        <w:rPr>
          <w:i/>
          <w:iCs/>
        </w:rPr>
        <w:t xml:space="preserve">S. </w:t>
      </w:r>
      <w:r w:rsidR="00422369" w:rsidRPr="00D61723">
        <w:rPr>
          <w:i/>
          <w:iCs/>
        </w:rPr>
        <w:t>Educ. Found.</w:t>
      </w:r>
      <w:r w:rsidR="00422369">
        <w:t xml:space="preserve">, 2025 WL 1453047, at </w:t>
      </w:r>
      <w:r w:rsidR="00422369" w:rsidRPr="00D75759">
        <w:t>*</w:t>
      </w:r>
      <w:r w:rsidR="00422369">
        <w:t>8 (</w:t>
      </w:r>
      <w:r w:rsidR="00422369" w:rsidRPr="002012A6">
        <w:t xml:space="preserve">distinguishing </w:t>
      </w:r>
      <w:r w:rsidR="00422369" w:rsidRPr="002012A6">
        <w:rPr>
          <w:i/>
          <w:iCs/>
        </w:rPr>
        <w:t xml:space="preserve">DOE </w:t>
      </w:r>
      <w:r w:rsidR="00422369" w:rsidRPr="002012A6">
        <w:t xml:space="preserve">where </w:t>
      </w:r>
      <w:r w:rsidR="00422369" w:rsidRPr="002012A6">
        <w:lastRenderedPageBreak/>
        <w:t>plaintiff assert</w:t>
      </w:r>
      <w:r w:rsidR="006D5CCE">
        <w:t>ed</w:t>
      </w:r>
      <w:r w:rsidR="00422369" w:rsidRPr="002012A6">
        <w:t xml:space="preserve"> claims that defendant </w:t>
      </w:r>
      <w:r w:rsidR="006D5CCE">
        <w:t>violated federal statutes and the Constitution</w:t>
      </w:r>
      <w:r w:rsidR="00422369" w:rsidRPr="0048058E">
        <w:t>)</w:t>
      </w:r>
      <w:r w:rsidR="00422369">
        <w:t>;</w:t>
      </w:r>
      <w:r w:rsidR="00422369" w:rsidRPr="0048058E">
        <w:rPr>
          <w:i/>
          <w:iCs/>
        </w:rPr>
        <w:t xml:space="preserve"> </w:t>
      </w:r>
      <w:r w:rsidR="00422369" w:rsidRPr="00D61723">
        <w:rPr>
          <w:i/>
          <w:iCs/>
        </w:rPr>
        <w:t>La. Delta Service Corps</w:t>
      </w:r>
      <w:r w:rsidR="00422369">
        <w:t xml:space="preserve">, 2025 WL 1787429, at </w:t>
      </w:r>
      <w:r w:rsidR="00422369" w:rsidRPr="00F74513">
        <w:t>*2</w:t>
      </w:r>
      <w:r w:rsidR="00422369">
        <w:t>0</w:t>
      </w:r>
      <w:r w:rsidR="006D5CCE">
        <w:t>–</w:t>
      </w:r>
      <w:r w:rsidR="00422369">
        <w:t xml:space="preserve">21 </w:t>
      </w:r>
      <w:r w:rsidR="00422369" w:rsidRPr="0048058E">
        <w:t>(</w:t>
      </w:r>
      <w:r w:rsidR="006D5CCE">
        <w:t xml:space="preserve">holding </w:t>
      </w:r>
      <w:r w:rsidR="00422369" w:rsidRPr="002012A6">
        <w:rPr>
          <w:i/>
          <w:iCs/>
        </w:rPr>
        <w:t>DOE</w:t>
      </w:r>
      <w:r w:rsidR="00422369" w:rsidRPr="0048058E">
        <w:t xml:space="preserve"> </w:t>
      </w:r>
      <w:r w:rsidR="006D5CCE">
        <w:t xml:space="preserve">did not control where plaintiffs sought </w:t>
      </w:r>
      <w:r w:rsidR="00422369" w:rsidRPr="0048058E">
        <w:t xml:space="preserve">enforcement of statutory mandates </w:t>
      </w:r>
      <w:r w:rsidR="006D5CCE">
        <w:t xml:space="preserve">to operate </w:t>
      </w:r>
      <w:r w:rsidR="00422369" w:rsidRPr="0048058E">
        <w:t>AmeriCorps</w:t>
      </w:r>
      <w:r w:rsidR="00422369">
        <w:t xml:space="preserve">); </w:t>
      </w:r>
      <w:proofErr w:type="spellStart"/>
      <w:r w:rsidR="00422369" w:rsidRPr="007A5E10">
        <w:rPr>
          <w:i/>
          <w:iCs/>
        </w:rPr>
        <w:t>Ass’n</w:t>
      </w:r>
      <w:proofErr w:type="spellEnd"/>
      <w:r w:rsidR="00422369" w:rsidRPr="007A5E10">
        <w:rPr>
          <w:i/>
          <w:iCs/>
        </w:rPr>
        <w:t xml:space="preserve"> of Am. Universities</w:t>
      </w:r>
      <w:r w:rsidR="00422369">
        <w:t xml:space="preserve">, 2025 WL 1414135, at </w:t>
      </w:r>
      <w:r w:rsidR="00422369" w:rsidRPr="00D362BF">
        <w:t>*7</w:t>
      </w:r>
      <w:r w:rsidR="00422369">
        <w:t xml:space="preserve"> </w:t>
      </w:r>
      <w:r w:rsidR="00422369" w:rsidRPr="0048058E">
        <w:t>(</w:t>
      </w:r>
      <w:r w:rsidR="006D5CCE">
        <w:t>holding</w:t>
      </w:r>
      <w:r w:rsidR="00422369" w:rsidRPr="0048058E">
        <w:t xml:space="preserve"> that the district court</w:t>
      </w:r>
      <w:r w:rsidR="006D5CCE">
        <w:t xml:space="preserve">, </w:t>
      </w:r>
      <w:r w:rsidR="00422369">
        <w:t>not the Court of Claims</w:t>
      </w:r>
      <w:r w:rsidR="006D5CCE">
        <w:t xml:space="preserve">, </w:t>
      </w:r>
      <w:r w:rsidR="00422369">
        <w:t>ha</w:t>
      </w:r>
      <w:r w:rsidR="00422369" w:rsidRPr="0048058E">
        <w:t xml:space="preserve">d jurisdiction </w:t>
      </w:r>
      <w:r w:rsidR="00422369">
        <w:t>over</w:t>
      </w:r>
      <w:r w:rsidR="00422369" w:rsidRPr="0048058E">
        <w:t xml:space="preserve"> the Plaintiffs’ </w:t>
      </w:r>
      <w:r w:rsidR="00422369">
        <w:t xml:space="preserve">challenge to the Defendant’s Rate Cap Policy, which </w:t>
      </w:r>
      <w:r w:rsidR="00422369" w:rsidRPr="0048058E">
        <w:t>turned on the preservation of federal statute and regulations put in place by Congress</w:t>
      </w:r>
      <w:r w:rsidR="00422369">
        <w:t xml:space="preserve">); </w:t>
      </w:r>
      <w:r w:rsidR="00422369" w:rsidRPr="00074EFF">
        <w:rPr>
          <w:i/>
          <w:iCs/>
        </w:rPr>
        <w:t>Rhode Island</w:t>
      </w:r>
      <w:r w:rsidR="00422369">
        <w:t xml:space="preserve">, 2025 WL 1303868, at </w:t>
      </w:r>
      <w:r w:rsidR="00422369" w:rsidRPr="00A20C25">
        <w:t>*</w:t>
      </w:r>
      <w:r w:rsidR="00422369">
        <w:t xml:space="preserve">7 (holding </w:t>
      </w:r>
      <w:r w:rsidR="00422369" w:rsidRPr="00231812">
        <w:t xml:space="preserve">that, because the States’ challenges </w:t>
      </w:r>
      <w:r w:rsidR="00422369">
        <w:t xml:space="preserve">to Executive Order </w:t>
      </w:r>
      <w:r w:rsidR="006D5CCE">
        <w:rPr>
          <w:color w:val="000000"/>
        </w:rPr>
        <w:t>were</w:t>
      </w:r>
      <w:r w:rsidR="00422369" w:rsidRPr="00231812">
        <w:rPr>
          <w:color w:val="000000"/>
        </w:rPr>
        <w:t xml:space="preserve"> </w:t>
      </w:r>
      <w:r w:rsidR="00422369">
        <w:rPr>
          <w:color w:val="000000"/>
        </w:rPr>
        <w:t>“</w:t>
      </w:r>
      <w:r w:rsidR="00422369" w:rsidRPr="00231812">
        <w:rPr>
          <w:color w:val="000000"/>
        </w:rPr>
        <w:t>based on alleged statutory and constitutional violations and the relief they seek is equitable, the essence of their claims are not contractual” and do not fall under the exclusive jurisdiction of the Court of Claims</w:t>
      </w:r>
      <w:r w:rsidR="00422369">
        <w:rPr>
          <w:color w:val="000000"/>
        </w:rPr>
        <w:t>);</w:t>
      </w:r>
      <w:r w:rsidR="00422369" w:rsidRPr="008859E7">
        <w:rPr>
          <w:i/>
          <w:iCs/>
        </w:rPr>
        <w:t xml:space="preserve"> </w:t>
      </w:r>
      <w:r w:rsidR="00422369" w:rsidRPr="00074EFF">
        <w:rPr>
          <w:i/>
          <w:iCs/>
        </w:rPr>
        <w:t>New York</w:t>
      </w:r>
      <w:r w:rsidR="00422369">
        <w:t xml:space="preserve">, 2025 WL 1098966, at </w:t>
      </w:r>
      <w:r w:rsidR="00422369" w:rsidRPr="00461BBE">
        <w:t>*2</w:t>
      </w:r>
      <w:r w:rsidR="00422369">
        <w:t xml:space="preserve"> (</w:t>
      </w:r>
      <w:r w:rsidR="006D5CCE">
        <w:t xml:space="preserve">same, </w:t>
      </w:r>
      <w:r w:rsidR="00422369">
        <w:t xml:space="preserve">even </w:t>
      </w:r>
      <w:r w:rsidR="00422369" w:rsidRPr="00BF6358">
        <w:t xml:space="preserve">where </w:t>
      </w:r>
      <w:r w:rsidR="00422369">
        <w:t>p</w:t>
      </w:r>
      <w:r w:rsidR="00422369" w:rsidRPr="00BF6358">
        <w:t>laintiffs</w:t>
      </w:r>
      <w:r w:rsidR="00422369">
        <w:t>’</w:t>
      </w:r>
      <w:r w:rsidR="00422369" w:rsidRPr="00BF6358">
        <w:t xml:space="preserve"> specific relief results in</w:t>
      </w:r>
      <w:r w:rsidR="00422369">
        <w:t xml:space="preserve"> fund </w:t>
      </w:r>
      <w:r w:rsidR="00422369" w:rsidRPr="00BF6358">
        <w:t>disbursements as a “mere-by-product” of the Court’s “primary function” of reviewing defendant’s interpretation of the law and regulation</w:t>
      </w:r>
      <w:r w:rsidR="00422369">
        <w:t xml:space="preserve">); </w:t>
      </w:r>
      <w:proofErr w:type="spellStart"/>
      <w:r w:rsidR="00422369" w:rsidRPr="002A60A2">
        <w:rPr>
          <w:i/>
          <w:iCs/>
        </w:rPr>
        <w:t>Woonasquatucket</w:t>
      </w:r>
      <w:proofErr w:type="spellEnd"/>
      <w:r w:rsidR="00422369" w:rsidRPr="002A60A2">
        <w:rPr>
          <w:i/>
          <w:iCs/>
        </w:rPr>
        <w:t xml:space="preserve"> River Watershed</w:t>
      </w:r>
      <w:r w:rsidR="00422369">
        <w:t xml:space="preserve">, 2025 WL 1116157, at </w:t>
      </w:r>
      <w:r w:rsidR="00422369" w:rsidRPr="005F6AE1">
        <w:t>*14</w:t>
      </w:r>
      <w:r w:rsidR="00422369">
        <w:t xml:space="preserve"> </w:t>
      </w:r>
      <w:r w:rsidR="00422369" w:rsidRPr="00AB79CC">
        <w:t>(</w:t>
      </w:r>
      <w:r w:rsidR="00422369">
        <w:t>e</w:t>
      </w:r>
      <w:r w:rsidR="00422369" w:rsidRPr="006C356E">
        <w:t>xplaining that</w:t>
      </w:r>
      <w:r w:rsidR="006D5CCE">
        <w:t xml:space="preserve"> DOE did not control where</w:t>
      </w:r>
      <w:r w:rsidR="00422369" w:rsidRPr="006C356E">
        <w:t xml:space="preserve"> the requested relief </w:t>
      </w:r>
      <w:r w:rsidR="006D5CCE">
        <w:t>was</w:t>
      </w:r>
      <w:r w:rsidR="00422369" w:rsidRPr="006C356E">
        <w:t xml:space="preserve"> to undo the Government</w:t>
      </w:r>
      <w:r w:rsidR="006D5CCE">
        <w:t>’</w:t>
      </w:r>
      <w:r w:rsidR="00422369" w:rsidRPr="006C356E">
        <w:t>s freeze of</w:t>
      </w:r>
      <w:r w:rsidR="00422369">
        <w:t xml:space="preserve"> </w:t>
      </w:r>
      <w:r w:rsidR="00422369" w:rsidRPr="006C356E">
        <w:t>funds rather than monetary damages</w:t>
      </w:r>
      <w:r w:rsidR="00422369">
        <w:t xml:space="preserve">); </w:t>
      </w:r>
      <w:r w:rsidR="00422369" w:rsidRPr="00AA6272">
        <w:rPr>
          <w:i/>
          <w:iCs/>
        </w:rPr>
        <w:lastRenderedPageBreak/>
        <w:t xml:space="preserve">see also </w:t>
      </w:r>
      <w:r w:rsidR="00AA6272" w:rsidRPr="00AA6272">
        <w:rPr>
          <w:i/>
          <w:iCs/>
        </w:rPr>
        <w:t>Climate United Fund</w:t>
      </w:r>
      <w:r w:rsidR="00AA6272">
        <w:t>, 2025 WL 1131412, at *11</w:t>
      </w:r>
      <w:r w:rsidR="0077570E">
        <w:t xml:space="preserve"> </w:t>
      </w:r>
      <w:r w:rsidR="00AA6272">
        <w:t xml:space="preserve">(distinguishing </w:t>
      </w:r>
      <w:r w:rsidR="00AA6272" w:rsidRPr="00AA6272">
        <w:rPr>
          <w:i/>
          <w:iCs/>
        </w:rPr>
        <w:t>DOE</w:t>
      </w:r>
      <w:r w:rsidR="00AA6272">
        <w:t xml:space="preserve"> where “</w:t>
      </w:r>
      <w:r w:rsidR="00AA6272" w:rsidRPr="00AA6272">
        <w:t>Plaintiffs seek to regain access to their already disbursed funds at Citibank, rather than an order mandating the government to pay any type of money damages or money for past harms</w:t>
      </w:r>
      <w:r w:rsidR="00AA6272">
        <w:t>”).</w:t>
      </w:r>
    </w:p>
    <w:p w14:paraId="36337F57" w14:textId="704A425A" w:rsidR="005C4AC3" w:rsidRDefault="0087048D" w:rsidP="009978C8">
      <w:pPr>
        <w:pStyle w:val="Body"/>
      </w:pPr>
      <w:r w:rsidRPr="005A76AF">
        <w:t>Fourth</w:t>
      </w:r>
      <w:r w:rsidR="00B23A67">
        <w:t xml:space="preserve">, </w:t>
      </w:r>
      <w:r w:rsidR="00F90FF0" w:rsidRPr="00F90FF0">
        <w:t xml:space="preserve">unlike the plaintiffs in </w:t>
      </w:r>
      <w:r w:rsidR="00F90FF0" w:rsidRPr="00F90FF0">
        <w:rPr>
          <w:i/>
          <w:iCs/>
        </w:rPr>
        <w:t>DOE</w:t>
      </w:r>
      <w:r w:rsidR="00F90FF0" w:rsidRPr="00F90FF0">
        <w:t xml:space="preserve">, plaintiffs here are not in privity with the federal government. </w:t>
      </w:r>
      <w:r w:rsidR="00F90FF0" w:rsidRPr="00F90FF0">
        <w:rPr>
          <w:i/>
          <w:iCs/>
        </w:rPr>
        <w:t>Cf. DOE</w:t>
      </w:r>
      <w:r w:rsidR="00F90FF0" w:rsidRPr="00F90FF0">
        <w:t xml:space="preserve">, 769 F. Supp. 3d at 76 n.2. Instead, plaintiffs are nonprofit legal-service organizations that did not sign the prime contract between the government and the Acacia Center for Justice. </w:t>
      </w:r>
      <w:proofErr w:type="spellStart"/>
      <w:r w:rsidR="00F90FF0" w:rsidRPr="00F90FF0">
        <w:t>Compl</w:t>
      </w:r>
      <w:proofErr w:type="spellEnd"/>
      <w:r w:rsidR="00F90FF0" w:rsidRPr="00F90FF0">
        <w:t xml:space="preserve">. ¶ 64. They </w:t>
      </w:r>
      <w:proofErr w:type="gramStart"/>
      <w:r w:rsidR="00F90FF0" w:rsidRPr="00F90FF0">
        <w:t>bring suit</w:t>
      </w:r>
      <w:proofErr w:type="gramEnd"/>
      <w:r w:rsidR="00F90FF0" w:rsidRPr="00F90FF0">
        <w:t xml:space="preserve"> solely to enforce compliance with federal statutes and regulations. Plaintiffs </w:t>
      </w:r>
      <w:r w:rsidR="009978C8">
        <w:t>do not</w:t>
      </w:r>
      <w:r w:rsidR="009978C8" w:rsidRPr="00F90FF0">
        <w:t xml:space="preserve"> </w:t>
      </w:r>
      <w:r w:rsidR="00F90FF0" w:rsidRPr="00F90FF0">
        <w:t>seek contractual relief</w:t>
      </w:r>
      <w:r w:rsidR="008530C1">
        <w:t>,</w:t>
      </w:r>
      <w:r w:rsidR="00F90FF0" w:rsidRPr="00F90FF0">
        <w:t xml:space="preserve"> nor could they given the absence of any direct contract between themselves and the government. Rather, they are subcontractors of Acacia, the entity that holds the prime contract. </w:t>
      </w:r>
      <w:r w:rsidR="005C4AC3" w:rsidRPr="00AA6272">
        <w:rPr>
          <w:i/>
          <w:iCs/>
        </w:rPr>
        <w:t>See Climate United Fund</w:t>
      </w:r>
      <w:r w:rsidR="005C4AC3">
        <w:t>, 2025 WL 1131412, at *11 (“[I]importantly, the parties’ relationship here—given the individual ACAs with Citibank and the lack of agreements between subgrantees and EPA—</w:t>
      </w:r>
      <w:r w:rsidR="00AA6272">
        <w:t>…</w:t>
      </w:r>
      <w:r w:rsidR="005C4AC3">
        <w:t xml:space="preserve"> differ from the ones implicated in [</w:t>
      </w:r>
      <w:r w:rsidR="005C4AC3" w:rsidRPr="005C4AC3">
        <w:rPr>
          <w:i/>
          <w:iCs/>
        </w:rPr>
        <w:t>DOE</w:t>
      </w:r>
      <w:r w:rsidR="005C4AC3">
        <w:t>].”).</w:t>
      </w:r>
    </w:p>
    <w:p w14:paraId="484A3BCD" w14:textId="1B68AB09" w:rsidR="00146072" w:rsidRDefault="005C4AC3" w:rsidP="005F595D">
      <w:pPr>
        <w:pStyle w:val="Body"/>
        <w:rPr>
          <w:sz w:val="24"/>
          <w:szCs w:val="24"/>
        </w:rPr>
      </w:pPr>
      <w:r>
        <w:t>Further</w:t>
      </w:r>
      <w:r w:rsidR="00F90FF0" w:rsidRPr="00F90FF0">
        <w:t xml:space="preserve">, plaintiffs do not—and, as the district court correctly recognized under Federal Circuit precedent, cannot—bring suit as </w:t>
      </w:r>
      <w:r w:rsidR="00F90FF0" w:rsidRPr="00F90FF0">
        <w:lastRenderedPageBreak/>
        <w:t xml:space="preserve">third-party beneficiaries. PI Order at 13 n.3 (citing </w:t>
      </w:r>
      <w:r w:rsidR="00F90FF0" w:rsidRPr="00F90FF0">
        <w:rPr>
          <w:i/>
          <w:iCs/>
        </w:rPr>
        <w:t>United States v. Johnson Controls, Inc.</w:t>
      </w:r>
      <w:r w:rsidR="00F90FF0" w:rsidRPr="00F90FF0">
        <w:t xml:space="preserve">, 713 F.2d 1541, 1550–51 (Fed. Cir. 1983)). </w:t>
      </w:r>
      <w:r w:rsidR="007467EC">
        <w:t xml:space="preserve">Indeed, as this Court observed, the Government has conceded Plaintiffs could not have brought their claims in the Court of Federal Claims. 9th Cir. </w:t>
      </w:r>
      <w:proofErr w:type="spellStart"/>
      <w:r w:rsidR="007467EC">
        <w:t>Dkt</w:t>
      </w:r>
      <w:proofErr w:type="spellEnd"/>
      <w:r w:rsidR="007467EC">
        <w:t xml:space="preserve">. No. 18.1 at 3 (Order Denying Stay); </w:t>
      </w:r>
      <w:r w:rsidR="007467EC" w:rsidRPr="00011786">
        <w:rPr>
          <w:i/>
          <w:iCs/>
        </w:rPr>
        <w:t>see</w:t>
      </w:r>
      <w:r w:rsidR="007467EC">
        <w:rPr>
          <w:i/>
          <w:iCs/>
        </w:rPr>
        <w:t xml:space="preserve"> </w:t>
      </w:r>
      <w:r w:rsidR="007467EC">
        <w:t xml:space="preserve">9th Cir. </w:t>
      </w:r>
      <w:proofErr w:type="spellStart"/>
      <w:r w:rsidR="007467EC">
        <w:t>Dkt</w:t>
      </w:r>
      <w:proofErr w:type="spellEnd"/>
      <w:r w:rsidR="007467EC">
        <w:t xml:space="preserve">. No. 14.1 at ECF 5; 9th Cir. </w:t>
      </w:r>
      <w:proofErr w:type="spellStart"/>
      <w:r w:rsidR="007467EC">
        <w:t>Dkt</w:t>
      </w:r>
      <w:proofErr w:type="spellEnd"/>
      <w:r w:rsidR="007467EC">
        <w:t xml:space="preserve">. No. 5.1 at ECF 7–10. </w:t>
      </w:r>
      <w:r w:rsidR="00F90FF0" w:rsidRPr="00F90FF0">
        <w:t xml:space="preserve">This further confirms that </w:t>
      </w:r>
      <w:r w:rsidR="00B17011">
        <w:t xml:space="preserve">that Plaintiffs do not seek contractual relief—relief to which they would not even be entitled under Federal Circuit precedent. </w:t>
      </w:r>
      <w:r w:rsidR="00A978D5">
        <w:t>Rather, Plaintiffs seek compliance with federal law under the APA, regardless of whether Plaintiffs ultimately gain any economic benefit themselves.</w:t>
      </w:r>
      <w:r w:rsidR="00B17011">
        <w:t xml:space="preserve"> </w:t>
      </w:r>
      <w:r w:rsidR="00AF3209">
        <w:t>The Tucker Act thus</w:t>
      </w:r>
      <w:r w:rsidR="009978C8">
        <w:t xml:space="preserve">, as we explained </w:t>
      </w:r>
      <w:r w:rsidR="008530C1">
        <w:t>(</w:t>
      </w:r>
      <w:r w:rsidR="008530C1" w:rsidRPr="005A76AF">
        <w:rPr>
          <w:i/>
          <w:iCs/>
        </w:rPr>
        <w:t>supra</w:t>
      </w:r>
      <w:r w:rsidR="008530C1">
        <w:t>, Argument § I)</w:t>
      </w:r>
      <w:r w:rsidR="009978C8">
        <w:t>,</w:t>
      </w:r>
      <w:r w:rsidR="00AF3209">
        <w:t xml:space="preserve"> does not oust the district court’s jurisdiction.</w:t>
      </w:r>
    </w:p>
    <w:p w14:paraId="7D9C052A" w14:textId="4995506C" w:rsidR="00597F49" w:rsidRDefault="00CF0494" w:rsidP="00DE3EED">
      <w:pPr>
        <w:pStyle w:val="Body"/>
      </w:pPr>
      <w:bookmarkStart w:id="31" w:name="_Hlk202904901"/>
      <w:r w:rsidRPr="00CF0494">
        <w:t xml:space="preserve">To the extent the Supreme Court’s actions on emergency stay orders can inform how courts apply binding precedent, the claims here are more analogous to those in </w:t>
      </w:r>
      <w:r w:rsidR="00045DC4">
        <w:rPr>
          <w:i/>
          <w:iCs/>
        </w:rPr>
        <w:t xml:space="preserve">Dep’t of State v. </w:t>
      </w:r>
      <w:r w:rsidRPr="00CF0494">
        <w:rPr>
          <w:i/>
          <w:iCs/>
        </w:rPr>
        <w:t>AIDS Vaccine Advocacy Coalition</w:t>
      </w:r>
      <w:r w:rsidRPr="00CF0494">
        <w:t xml:space="preserve">, 145 S. Ct. 753 (2025), than to those in </w:t>
      </w:r>
      <w:r w:rsidRPr="00CF0494">
        <w:rPr>
          <w:i/>
          <w:iCs/>
        </w:rPr>
        <w:t>DOE</w:t>
      </w:r>
      <w:r w:rsidRPr="00CF0494">
        <w:t xml:space="preserve">. There, the Supreme Court, addressing an emergency motion by the government, declined to stay interim injunctive relief granted by the district court, despite the government’s argument that the claims belonged in the </w:t>
      </w:r>
      <w:r w:rsidRPr="00CF0494">
        <w:lastRenderedPageBreak/>
        <w:t xml:space="preserve">Court of Federal Claims. As a D.C. Circuit judge later explained, </w:t>
      </w:r>
      <w:r w:rsidR="00077AD5">
        <w:t>the plaintiffs “</w:t>
      </w:r>
      <w:r w:rsidR="00077AD5" w:rsidRPr="00077AD5">
        <w:t>claimed a right to be free from government action—the wholesale termination of the plaintiffs’ grant funding—they claimed exceeded the authority conferred by statute and the Constitution. As here, their claims did not depend on whether their contracts were breached, but on whether the agency</w:t>
      </w:r>
      <w:r w:rsidR="00953404">
        <w:t>’</w:t>
      </w:r>
      <w:r w:rsidR="00077AD5" w:rsidRPr="00077AD5">
        <w:t>s policy directives were unlawful in the face of federal statutes appropriating funds for specific purposes.</w:t>
      </w:r>
      <w:r w:rsidR="00077AD5">
        <w:t xml:space="preserve">” </w:t>
      </w:r>
      <w:proofErr w:type="spellStart"/>
      <w:r w:rsidR="00077AD5" w:rsidRPr="00A85A2A">
        <w:rPr>
          <w:i/>
          <w:iCs/>
        </w:rPr>
        <w:t>Widakuswara</w:t>
      </w:r>
      <w:proofErr w:type="spellEnd"/>
      <w:r w:rsidR="00077AD5" w:rsidRPr="00A85A2A">
        <w:t>, 2025 WL 1288817, at *14 (Pillard, J., dissenting)</w:t>
      </w:r>
      <w:r w:rsidR="00A85A2A">
        <w:t xml:space="preserve">; see </w:t>
      </w:r>
      <w:r w:rsidR="00077AD5" w:rsidRPr="00A85A2A">
        <w:t xml:space="preserve">2025 WL 1521355 </w:t>
      </w:r>
      <w:r w:rsidR="00581A4F" w:rsidRPr="00A85A2A">
        <w:t>(</w:t>
      </w:r>
      <w:r w:rsidR="00A85A2A">
        <w:t>largely adopting Judge Pillard’s dissenting opinion)</w:t>
      </w:r>
      <w:r w:rsidR="00B61AFA">
        <w:t xml:space="preserve">; </w:t>
      </w:r>
      <w:r w:rsidR="00B61AFA" w:rsidRPr="00DE3EED">
        <w:rPr>
          <w:i/>
          <w:iCs/>
        </w:rPr>
        <w:t>Am. Ctr. Center for Int’l Labor Solidarity</w:t>
      </w:r>
      <w:r w:rsidR="00B61AFA">
        <w:t>, 2025 WL 1795090, at *20 (</w:t>
      </w:r>
      <w:r w:rsidR="001E413E">
        <w:t xml:space="preserve">holding </w:t>
      </w:r>
      <w:r w:rsidR="001E413E" w:rsidRPr="001E413E">
        <w:rPr>
          <w:i/>
          <w:iCs/>
        </w:rPr>
        <w:t>DOE</w:t>
      </w:r>
      <w:r w:rsidR="001E413E">
        <w:t xml:space="preserve"> lacks precedential value, but </w:t>
      </w:r>
      <w:r w:rsidR="00DE3EED">
        <w:t xml:space="preserve">applying </w:t>
      </w:r>
      <w:r w:rsidR="00DE3EED" w:rsidRPr="00597F49">
        <w:rPr>
          <w:i/>
          <w:iCs/>
        </w:rPr>
        <w:t>AIDS Vaccine Advocacy Coalition</w:t>
      </w:r>
      <w:r w:rsidR="00DE3EED">
        <w:t xml:space="preserve"> rather than</w:t>
      </w:r>
      <w:r w:rsidR="00DE3EED" w:rsidRPr="00597F49">
        <w:t xml:space="preserve"> </w:t>
      </w:r>
      <w:r w:rsidR="00DE3EED" w:rsidRPr="00597F49">
        <w:rPr>
          <w:i/>
          <w:iCs/>
        </w:rPr>
        <w:t>DOE</w:t>
      </w:r>
      <w:r w:rsidR="00DE3EED">
        <w:rPr>
          <w:i/>
          <w:iCs/>
        </w:rPr>
        <w:t xml:space="preserve"> </w:t>
      </w:r>
      <w:r w:rsidR="00DE3EED">
        <w:t>to the extent either order is entitled to weight</w:t>
      </w:r>
      <w:r w:rsidR="00B61AFA">
        <w:t>)</w:t>
      </w:r>
      <w:r w:rsidR="00581A4F">
        <w:t>.</w:t>
      </w:r>
    </w:p>
    <w:p w14:paraId="62A98F1A" w14:textId="539C1A39" w:rsidR="000D6E73" w:rsidRDefault="00597F49" w:rsidP="00AD611E">
      <w:pPr>
        <w:pStyle w:val="Body"/>
      </w:pPr>
      <w:r>
        <w:t xml:space="preserve">So too here: </w:t>
      </w:r>
      <w:proofErr w:type="gramStart"/>
      <w:r w:rsidRPr="00597F49">
        <w:t>the</w:t>
      </w:r>
      <w:proofErr w:type="gramEnd"/>
      <w:r w:rsidRPr="00597F49">
        <w:t xml:space="preserve"> </w:t>
      </w:r>
      <w:r w:rsidR="00241A64">
        <w:t>P</w:t>
      </w:r>
      <w:r w:rsidRPr="00597F49">
        <w:t xml:space="preserve">laintiffs’ claims do not hinge on any alleged breach of contract, but on whether the Administration’s actions are unlawful under </w:t>
      </w:r>
      <w:r w:rsidR="00E63A2B">
        <w:t xml:space="preserve">the statutes and regulations </w:t>
      </w:r>
      <w:r w:rsidRPr="00597F49">
        <w:t xml:space="preserve">requiring representation for unaccompanied minors. To the extent any shadow-docket order should inform the outcome of this case, it should be </w:t>
      </w:r>
      <w:r w:rsidRPr="00597F49">
        <w:rPr>
          <w:i/>
          <w:iCs/>
        </w:rPr>
        <w:t>AIDS Vaccine Advocacy Coalition</w:t>
      </w:r>
      <w:r w:rsidRPr="00597F49">
        <w:t xml:space="preserve">—not </w:t>
      </w:r>
      <w:r w:rsidRPr="00597F49">
        <w:rPr>
          <w:i/>
          <w:iCs/>
        </w:rPr>
        <w:t>DOE</w:t>
      </w:r>
      <w:r w:rsidRPr="00597F49">
        <w:t>.</w:t>
      </w:r>
      <w:bookmarkEnd w:id="31"/>
    </w:p>
    <w:p w14:paraId="5C104364" w14:textId="53E80793" w:rsidR="00981A6F" w:rsidRPr="00FB5F70" w:rsidRDefault="000D6E73" w:rsidP="00AD611E">
      <w:pPr>
        <w:pStyle w:val="Body"/>
      </w:pPr>
      <w:r>
        <w:lastRenderedPageBreak/>
        <w:t>But it is</w:t>
      </w:r>
      <w:r w:rsidR="003748E9">
        <w:t xml:space="preserve"> ultimately</w:t>
      </w:r>
      <w:r>
        <w:t xml:space="preserve"> </w:t>
      </w:r>
      <w:r w:rsidRPr="000D6E73">
        <w:rPr>
          <w:i/>
          <w:iCs/>
        </w:rPr>
        <w:t>Bowen</w:t>
      </w:r>
      <w:r>
        <w:t>, the Supreme Court’s super-strong statutory precedent, that governs here</w:t>
      </w:r>
      <w:r w:rsidR="00C14E10">
        <w:t>. A</w:t>
      </w:r>
      <w:r>
        <w:t xml:space="preserve">nd under </w:t>
      </w:r>
      <w:r w:rsidRPr="000D6E73">
        <w:rPr>
          <w:i/>
          <w:iCs/>
        </w:rPr>
        <w:t>Bowen</w:t>
      </w:r>
      <w:r>
        <w:t>, the district court unquestionably had subject-matter jurisdiction.</w:t>
      </w:r>
    </w:p>
    <w:p w14:paraId="420FEF28" w14:textId="7A431315" w:rsidR="00134752" w:rsidRPr="0036636C" w:rsidRDefault="00134752" w:rsidP="00C04204">
      <w:pPr>
        <w:pStyle w:val="Heading0"/>
        <w:pageBreakBefore w:val="0"/>
      </w:pPr>
      <w:bookmarkStart w:id="32" w:name="_Toc202911629"/>
      <w:r w:rsidRPr="0036636C">
        <w:t>CONCLUSION</w:t>
      </w:r>
      <w:bookmarkEnd w:id="10"/>
      <w:bookmarkEnd w:id="32"/>
    </w:p>
    <w:p w14:paraId="36BE8ADD" w14:textId="5A2B6ACB" w:rsidR="00AF0DAD" w:rsidRDefault="00AF0DAD" w:rsidP="00C51905">
      <w:pPr>
        <w:pStyle w:val="Body"/>
      </w:pPr>
      <w:r>
        <w:t>Amici respectfully submit that this Court should affirm.</w:t>
      </w:r>
    </w:p>
    <w:p w14:paraId="5F7102E1" w14:textId="77777777" w:rsidR="00AF0DAD" w:rsidRPr="0036636C" w:rsidRDefault="00AF0DAD" w:rsidP="00AF0DAD">
      <w:pPr>
        <w:ind w:firstLine="720"/>
        <w:jc w:val="both"/>
        <w:rPr>
          <w:rFonts w:ascii="Century Schoolbook" w:hAnsi="Century Schoolbook"/>
          <w:color w:val="000000"/>
          <w:szCs w:val="28"/>
        </w:rPr>
      </w:pPr>
      <w:r w:rsidRPr="0036636C">
        <w:rPr>
          <w:rFonts w:ascii="Century Schoolbook" w:hAnsi="Century Schoolbook"/>
          <w:color w:val="000000"/>
          <w:szCs w:val="28"/>
        </w:rPr>
        <w:t>Date:</w:t>
      </w:r>
      <w:r w:rsidRPr="0036636C">
        <w:rPr>
          <w:rFonts w:ascii="Century Schoolbook" w:hAnsi="Century Schoolbook"/>
          <w:color w:val="000000"/>
          <w:szCs w:val="28"/>
        </w:rPr>
        <w:tab/>
      </w:r>
      <w:r>
        <w:rPr>
          <w:rFonts w:ascii="Century Schoolbook" w:hAnsi="Century Schoolbook"/>
          <w:color w:val="000000"/>
          <w:szCs w:val="28"/>
        </w:rPr>
        <w:tab/>
      </w:r>
      <w:r w:rsidRPr="0036636C">
        <w:rPr>
          <w:rFonts w:ascii="Century Schoolbook" w:hAnsi="Century Schoolbook"/>
          <w:color w:val="000000"/>
          <w:szCs w:val="28"/>
        </w:rPr>
        <w:t>July 17, 2025</w:t>
      </w:r>
    </w:p>
    <w:p w14:paraId="0D886A9A" w14:textId="77777777" w:rsidR="00AF0DAD" w:rsidRPr="0036636C" w:rsidRDefault="00AF0DAD" w:rsidP="00AF0DAD">
      <w:pPr>
        <w:ind w:firstLine="720"/>
        <w:jc w:val="both"/>
        <w:rPr>
          <w:rFonts w:ascii="Century Schoolbook" w:hAnsi="Century Schoolbook"/>
          <w:color w:val="000000"/>
          <w:szCs w:val="28"/>
        </w:rPr>
      </w:pPr>
    </w:p>
    <w:p w14:paraId="456E48E6" w14:textId="77777777" w:rsidR="00AF0DAD" w:rsidRPr="0036636C" w:rsidRDefault="00AF0DAD" w:rsidP="005D1C67">
      <w:pPr>
        <w:pStyle w:val="SingleSpaced"/>
        <w:keepNext/>
        <w:keepLines/>
        <w:spacing w:line="240" w:lineRule="auto"/>
        <w:rPr>
          <w:rFonts w:ascii="Century Schoolbook" w:hAnsi="Century Schoolbook"/>
          <w:color w:val="000000"/>
          <w:szCs w:val="28"/>
        </w:rPr>
      </w:pP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t>THE NORTON LAW FIRM PC</w:t>
      </w:r>
    </w:p>
    <w:p w14:paraId="32EF66D0" w14:textId="77777777" w:rsidR="00AF0DAD" w:rsidRPr="0036636C" w:rsidRDefault="00AF0DAD" w:rsidP="005D1C67">
      <w:pPr>
        <w:pStyle w:val="SingleSpaced"/>
        <w:keepNext/>
        <w:keepLines/>
        <w:spacing w:line="240" w:lineRule="auto"/>
        <w:rPr>
          <w:rFonts w:ascii="Century Schoolbook" w:hAnsi="Century Schoolbook"/>
          <w:color w:val="000000"/>
          <w:szCs w:val="28"/>
        </w:rPr>
      </w:pPr>
    </w:p>
    <w:p w14:paraId="25480970" w14:textId="77777777" w:rsidR="00AF0DAD" w:rsidRPr="0036636C" w:rsidRDefault="00AF0DAD" w:rsidP="005D1C67">
      <w:pPr>
        <w:pStyle w:val="SingleSpaced"/>
        <w:keepNext/>
        <w:keepLines/>
        <w:spacing w:line="240" w:lineRule="auto"/>
        <w:rPr>
          <w:rFonts w:ascii="Century Schoolbook" w:hAnsi="Century Schoolbook"/>
          <w:color w:val="000000"/>
          <w:szCs w:val="28"/>
        </w:rPr>
      </w:pPr>
    </w:p>
    <w:p w14:paraId="579ED94A" w14:textId="77777777" w:rsidR="00AF0DAD" w:rsidRPr="0036636C" w:rsidRDefault="00AF0DAD" w:rsidP="005D1C67">
      <w:pPr>
        <w:pStyle w:val="SingleSpaced"/>
        <w:keepNext/>
        <w:keepLines/>
        <w:spacing w:line="240" w:lineRule="auto"/>
        <w:rPr>
          <w:rFonts w:ascii="Century Schoolbook" w:hAnsi="Century Schoolbook"/>
          <w:iCs/>
          <w:color w:val="000000"/>
          <w:szCs w:val="28"/>
        </w:rPr>
      </w:pPr>
      <w:r w:rsidRPr="0036636C">
        <w:rPr>
          <w:rFonts w:ascii="Century Schoolbook" w:hAnsi="Century Schoolbook"/>
          <w:noProof/>
          <w:color w:val="000000"/>
          <w:szCs w:val="28"/>
          <w:lang w:bidi="he-IL"/>
        </w:rPr>
        <mc:AlternateContent>
          <mc:Choice Requires="wps">
            <w:drawing>
              <wp:anchor distT="0" distB="0" distL="114300" distR="114300" simplePos="0" relativeHeight="251663360" behindDoc="0" locked="0" layoutInCell="1" allowOverlap="1" wp14:anchorId="66CAB2B6" wp14:editId="0936CCF5">
                <wp:simplePos x="0" y="0"/>
                <wp:positionH relativeFrom="column">
                  <wp:posOffset>3048000</wp:posOffset>
                </wp:positionH>
                <wp:positionV relativeFrom="paragraph">
                  <wp:posOffset>207010</wp:posOffset>
                </wp:positionV>
                <wp:extent cx="2266950" cy="0"/>
                <wp:effectExtent l="9525" t="7620" r="9525" b="11430"/>
                <wp:wrapNone/>
                <wp:docPr id="41502504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E9C0FFA" id="_x0000_t32" coordsize="21600,21600" o:spt="32" o:oned="t" path="m,l21600,21600e" filled="f">
                <v:path arrowok="t" fillok="f" o:connecttype="none"/>
                <o:lock v:ext="edit" shapetype="t"/>
              </v:shapetype>
              <v:shape id="AutoShape 4" o:spid="_x0000_s1026" type="#_x0000_t32" style="position:absolute;margin-left:240pt;margin-top:16.3pt;width:17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"/>
            </w:pict>
          </mc:Fallback>
        </mc:AlternateContent>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t xml:space="preserve">BY: </w:t>
      </w:r>
      <w:r w:rsidRPr="0036636C">
        <w:rPr>
          <w:rFonts w:ascii="Century Schoolbook" w:hAnsi="Century Schoolbook"/>
          <w:i/>
          <w:color w:val="000000"/>
          <w:szCs w:val="28"/>
        </w:rPr>
        <w:t xml:space="preserve">/s/ </w:t>
      </w:r>
      <w:r w:rsidRPr="0036636C">
        <w:rPr>
          <w:rFonts w:ascii="Century Schoolbook" w:hAnsi="Century Schoolbook"/>
          <w:i/>
          <w:color w:val="000000"/>
          <w:szCs w:val="28"/>
          <w:highlight w:val="yellow"/>
        </w:rPr>
        <w:t>DRAFT</w:t>
      </w:r>
    </w:p>
    <w:p w14:paraId="0402D04A" w14:textId="5612556B" w:rsidR="00AF0DAD" w:rsidRPr="0036636C" w:rsidRDefault="00AF0DAD" w:rsidP="005D1C67">
      <w:pPr>
        <w:pStyle w:val="SingleSpaced"/>
        <w:keepNext/>
        <w:keepLines/>
        <w:spacing w:line="240" w:lineRule="auto"/>
        <w:rPr>
          <w:rFonts w:ascii="Century Schoolbook" w:hAnsi="Century Schoolbook"/>
          <w:color w:val="000000"/>
          <w:szCs w:val="28"/>
        </w:rPr>
      </w:pP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Pr="0036636C">
        <w:rPr>
          <w:rFonts w:ascii="Century Schoolbook" w:hAnsi="Century Schoolbook"/>
          <w:color w:val="000000"/>
          <w:szCs w:val="28"/>
        </w:rPr>
        <w:tab/>
      </w:r>
      <w:r w:rsidR="000A2491">
        <w:rPr>
          <w:rFonts w:ascii="Century Schoolbook" w:hAnsi="Century Schoolbook"/>
          <w:color w:val="000000"/>
          <w:szCs w:val="28"/>
        </w:rPr>
        <w:t xml:space="preserve">  </w:t>
      </w:r>
      <w:r w:rsidR="00C51905">
        <w:rPr>
          <w:rFonts w:ascii="Century Schoolbook" w:hAnsi="Century Schoolbook"/>
          <w:color w:val="000000"/>
          <w:szCs w:val="28"/>
        </w:rPr>
        <w:t xml:space="preserve">   </w:t>
      </w:r>
      <w:r w:rsidR="000A2491">
        <w:rPr>
          <w:rFonts w:ascii="Century Schoolbook" w:hAnsi="Century Schoolbook"/>
          <w:color w:val="000000"/>
          <w:szCs w:val="28"/>
        </w:rPr>
        <w:t xml:space="preserve"> </w:t>
      </w:r>
      <w:r w:rsidRPr="0036636C">
        <w:rPr>
          <w:rFonts w:ascii="Century Schoolbook" w:hAnsi="Century Schoolbook"/>
          <w:color w:val="000000"/>
          <w:szCs w:val="28"/>
        </w:rPr>
        <w:t xml:space="preserve"> Josphine K. Petrick</w:t>
      </w:r>
    </w:p>
    <w:p w14:paraId="7AFD69A4" w14:textId="2AA6A9D7" w:rsidR="00AF0DAD" w:rsidRPr="0036636C" w:rsidRDefault="00AF0DAD" w:rsidP="005D1C67">
      <w:pPr>
        <w:pStyle w:val="NormalDouble"/>
        <w:keepNext/>
        <w:keepLines/>
        <w:spacing w:line="240" w:lineRule="auto"/>
        <w:ind w:left="4770" w:firstLine="0"/>
        <w:rPr>
          <w:rFonts w:ascii="Century Schoolbook" w:hAnsi="Century Schoolbook"/>
          <w:iCs/>
          <w:color w:val="000000"/>
          <w:szCs w:val="28"/>
        </w:rPr>
      </w:pPr>
      <w:r>
        <w:rPr>
          <w:rFonts w:ascii="Century Schoolbook" w:hAnsi="Century Schoolbook"/>
          <w:iCs/>
          <w:color w:val="000000"/>
          <w:szCs w:val="28"/>
        </w:rPr>
        <w:t xml:space="preserve"> </w:t>
      </w:r>
      <w:r w:rsidR="002D3178">
        <w:rPr>
          <w:rFonts w:ascii="Century Schoolbook" w:hAnsi="Century Schoolbook"/>
          <w:iCs/>
          <w:color w:val="000000"/>
          <w:szCs w:val="28"/>
        </w:rPr>
        <w:t>Counsel</w:t>
      </w:r>
      <w:r w:rsidRPr="0036636C">
        <w:rPr>
          <w:rFonts w:ascii="Century Schoolbook" w:hAnsi="Century Schoolbook"/>
          <w:iCs/>
          <w:color w:val="000000"/>
          <w:szCs w:val="28"/>
        </w:rPr>
        <w:t xml:space="preserve"> for Amici Curiae </w:t>
      </w:r>
    </w:p>
    <w:p w14:paraId="298C4728" w14:textId="2DEDB975" w:rsidR="00AF0DAD" w:rsidRPr="00AF0DAD" w:rsidRDefault="00AF0DAD" w:rsidP="00AF0DAD">
      <w:pPr>
        <w:pStyle w:val="Body"/>
        <w:sectPr w:rsidR="00AF0DAD" w:rsidRPr="00AF0DAD" w:rsidSect="00002ECD">
          <w:type w:val="continuous"/>
          <w:pgSz w:w="12240" w:h="15840" w:code="1"/>
          <w:pgMar w:top="1440" w:right="1440" w:bottom="1440" w:left="1440" w:header="720" w:footer="720" w:gutter="0"/>
          <w:cols w:space="720"/>
          <w:titlePg/>
          <w:docGrid w:linePitch="360"/>
        </w:sectPr>
      </w:pPr>
    </w:p>
    <w:p w14:paraId="07971851" w14:textId="521A94CF" w:rsidR="00233CED" w:rsidRPr="0036636C" w:rsidRDefault="00233CED" w:rsidP="00DE4699">
      <w:pPr>
        <w:pStyle w:val="Heading0"/>
      </w:pPr>
      <w:bookmarkStart w:id="33" w:name="_Toc107394498"/>
      <w:bookmarkStart w:id="34" w:name="_Toc150523539"/>
      <w:bookmarkStart w:id="35" w:name="_Toc193995818"/>
      <w:bookmarkStart w:id="36" w:name="_Toc193995904"/>
      <w:bookmarkStart w:id="37" w:name="_Toc194676573"/>
      <w:bookmarkStart w:id="38" w:name="_Toc202911630"/>
      <w:bookmarkStart w:id="39" w:name="_Toc433642556"/>
      <w:r w:rsidRPr="0036636C">
        <w:lastRenderedPageBreak/>
        <w:t xml:space="preserve">CERTIFICATE OF </w:t>
      </w:r>
      <w:bookmarkEnd w:id="33"/>
      <w:bookmarkEnd w:id="34"/>
      <w:bookmarkEnd w:id="35"/>
      <w:bookmarkEnd w:id="36"/>
      <w:bookmarkEnd w:id="37"/>
      <w:r w:rsidR="00ED7938">
        <w:t>COMPLIANCE</w:t>
      </w:r>
      <w:bookmarkEnd w:id="38"/>
    </w:p>
    <w:p w14:paraId="101625C7" w14:textId="329DEE52" w:rsidR="00233CED" w:rsidRPr="0036636C" w:rsidRDefault="00ED7938" w:rsidP="00ED7938">
      <w:pPr>
        <w:pStyle w:val="Body"/>
        <w:rPr>
          <w:rFonts w:eastAsia="Calibri"/>
        </w:rPr>
      </w:pPr>
      <w:r w:rsidRPr="00ED7938">
        <w:rPr>
          <w:rFonts w:eastAsia="Calibri"/>
        </w:rPr>
        <w:t>Pursuant to Federal Rule of Appellate Procedure 32(a)(7)(C), the undersigned counsel certifies that this Brief: (</w:t>
      </w:r>
      <w:proofErr w:type="spellStart"/>
      <w:r w:rsidRPr="00ED7938">
        <w:rPr>
          <w:rFonts w:eastAsia="Calibri"/>
        </w:rPr>
        <w:t>i</w:t>
      </w:r>
      <w:proofErr w:type="spellEnd"/>
      <w:r w:rsidRPr="00ED7938">
        <w:rPr>
          <w:rFonts w:eastAsia="Calibri"/>
        </w:rPr>
        <w:t xml:space="preserve">) complies with the typeface requirements of Rule 32(a)(5) and the type style requirements of Rule 32(a)(6) because it has been prepared using Microsoft Word and is set in Century Schoolbook font in a size equivalent to 14 points or larger; and (ii) complies with the length requirement of Rule 27(d)(2) because it is </w:t>
      </w:r>
      <w:r w:rsidR="00654E01" w:rsidRPr="007E49F6">
        <w:rPr>
          <w:rFonts w:eastAsia="Calibri"/>
        </w:rPr>
        <w:t>5,</w:t>
      </w:r>
      <w:r w:rsidR="007E49F6" w:rsidRPr="007E49F6">
        <w:rPr>
          <w:rFonts w:eastAsia="Calibri"/>
        </w:rPr>
        <w:t>874</w:t>
      </w:r>
      <w:r w:rsidRPr="00ED7938">
        <w:rPr>
          <w:rFonts w:eastAsia="Calibri"/>
        </w:rPr>
        <w:t xml:space="preserve"> </w:t>
      </w:r>
      <w:r w:rsidR="00C0697B">
        <w:rPr>
          <w:rFonts w:eastAsia="Calibri"/>
        </w:rPr>
        <w:t>[</w:t>
      </w:r>
      <w:r w:rsidR="00C0697B" w:rsidRPr="00C0697B">
        <w:rPr>
          <w:rFonts w:eastAsia="Calibri"/>
          <w:highlight w:val="yellow"/>
        </w:rPr>
        <w:t>under 7,000</w:t>
      </w:r>
      <w:r w:rsidR="00C0697B">
        <w:rPr>
          <w:rFonts w:eastAsia="Calibri"/>
        </w:rPr>
        <w:t xml:space="preserve">] </w:t>
      </w:r>
      <w:r w:rsidRPr="00ED7938">
        <w:rPr>
          <w:rFonts w:eastAsia="Calibri"/>
        </w:rPr>
        <w:t>words in length.</w:t>
      </w:r>
    </w:p>
    <w:tbl>
      <w:tblPr>
        <w:tblW w:w="8384" w:type="dxa"/>
        <w:tblBorders>
          <w:top w:val="nil"/>
          <w:left w:val="nil"/>
          <w:bottom w:val="nil"/>
          <w:right w:val="nil"/>
          <w:insideH w:val="nil"/>
          <w:insideV w:val="nil"/>
        </w:tblBorders>
        <w:tblLayout w:type="fixed"/>
        <w:tblLook w:val="0400" w:firstRow="0" w:lastRow="0" w:firstColumn="0" w:lastColumn="0" w:noHBand="0" w:noVBand="1"/>
      </w:tblPr>
      <w:tblGrid>
        <w:gridCol w:w="4147"/>
        <w:gridCol w:w="4237"/>
      </w:tblGrid>
      <w:tr w:rsidR="00233CED" w:rsidRPr="0036636C" w14:paraId="6B215A83" w14:textId="77777777" w:rsidTr="001856CB">
        <w:trPr>
          <w:trHeight w:val="1345"/>
        </w:trPr>
        <w:tc>
          <w:tcPr>
            <w:tcW w:w="4147" w:type="dxa"/>
          </w:tcPr>
          <w:p w14:paraId="3CB40C59" w14:textId="7700B400" w:rsidR="00233CED" w:rsidRPr="0036636C" w:rsidRDefault="00233CED" w:rsidP="00233CED">
            <w:pPr>
              <w:keepNext/>
              <w:keepLines/>
              <w:widowControl w:val="0"/>
              <w:spacing w:before="240" w:after="120"/>
              <w:rPr>
                <w:rFonts w:ascii="Century Schoolbook" w:eastAsia="Calibri" w:hAnsi="Century Schoolbook"/>
                <w:szCs w:val="28"/>
              </w:rPr>
            </w:pPr>
            <w:r w:rsidRPr="0036636C">
              <w:rPr>
                <w:rFonts w:ascii="Century Schoolbook" w:eastAsia="Calibri" w:hAnsi="Century Schoolbook"/>
                <w:szCs w:val="28"/>
              </w:rPr>
              <w:t>Dated:</w:t>
            </w:r>
            <w:r w:rsidR="000A2491">
              <w:rPr>
                <w:rFonts w:ascii="Century Schoolbook" w:eastAsia="Calibri" w:hAnsi="Century Schoolbook"/>
                <w:szCs w:val="28"/>
              </w:rPr>
              <w:t xml:space="preserve"> </w:t>
            </w:r>
            <w:r w:rsidR="00ED7938">
              <w:rPr>
                <w:rFonts w:ascii="Century Schoolbook" w:eastAsia="Calibri" w:hAnsi="Century Schoolbook"/>
                <w:szCs w:val="28"/>
              </w:rPr>
              <w:t>July 17, 2025</w:t>
            </w:r>
          </w:p>
        </w:tc>
        <w:tc>
          <w:tcPr>
            <w:tcW w:w="4237" w:type="dxa"/>
          </w:tcPr>
          <w:p w14:paraId="624A8FFE" w14:textId="77777777" w:rsidR="00233CED" w:rsidRPr="0036636C" w:rsidRDefault="00233CED" w:rsidP="00ED7938">
            <w:pPr>
              <w:keepNext/>
              <w:keepLines/>
              <w:widowControl w:val="0"/>
              <w:spacing w:before="240"/>
              <w:ind w:hanging="30"/>
              <w:rPr>
                <w:rFonts w:ascii="Century Schoolbook" w:eastAsia="Calibri" w:hAnsi="Century Schoolbook"/>
                <w:szCs w:val="28"/>
              </w:rPr>
            </w:pPr>
            <w:r w:rsidRPr="0036636C">
              <w:rPr>
                <w:rFonts w:ascii="Century Schoolbook" w:eastAsia="Calibri" w:hAnsi="Century Schoolbook"/>
                <w:szCs w:val="28"/>
              </w:rPr>
              <w:t>Respectfully submitted,</w:t>
            </w:r>
          </w:p>
          <w:p w14:paraId="6182DF0F" w14:textId="77777777" w:rsidR="00233CED" w:rsidRPr="0036636C" w:rsidRDefault="00233CED" w:rsidP="00ED7938">
            <w:pPr>
              <w:keepNext/>
              <w:keepLines/>
              <w:widowControl w:val="0"/>
              <w:ind w:hanging="30"/>
              <w:rPr>
                <w:rFonts w:ascii="Century Schoolbook" w:eastAsia="Calibri" w:hAnsi="Century Schoolbook"/>
                <w:szCs w:val="28"/>
              </w:rPr>
            </w:pPr>
          </w:p>
          <w:p w14:paraId="74B42FD7" w14:textId="77777777" w:rsidR="00233CED" w:rsidRPr="0036636C" w:rsidRDefault="00233CED" w:rsidP="00ED7938">
            <w:pPr>
              <w:keepNext/>
              <w:keepLines/>
              <w:widowControl w:val="0"/>
              <w:ind w:hanging="30"/>
              <w:rPr>
                <w:rFonts w:ascii="Century Schoolbook" w:eastAsia="Calibri" w:hAnsi="Century Schoolbook"/>
                <w:szCs w:val="28"/>
              </w:rPr>
            </w:pPr>
            <w:r w:rsidRPr="0036636C">
              <w:rPr>
                <w:rFonts w:ascii="Century Schoolbook" w:eastAsia="Calibri" w:hAnsi="Century Schoolbook"/>
                <w:szCs w:val="28"/>
              </w:rPr>
              <w:t>THE NORTON LAW FIRM PC</w:t>
            </w:r>
          </w:p>
          <w:p w14:paraId="3F9C52CD" w14:textId="77777777" w:rsidR="00233CED" w:rsidRPr="0036636C" w:rsidRDefault="00233CED" w:rsidP="00233CED">
            <w:pPr>
              <w:keepNext/>
              <w:keepLines/>
              <w:widowControl w:val="0"/>
              <w:spacing w:after="120"/>
              <w:rPr>
                <w:rFonts w:ascii="Century Schoolbook" w:eastAsia="Calibri" w:hAnsi="Century Schoolbook"/>
                <w:szCs w:val="28"/>
              </w:rPr>
            </w:pPr>
          </w:p>
        </w:tc>
      </w:tr>
      <w:tr w:rsidR="00233CED" w:rsidRPr="0036636C" w14:paraId="04C0C41E" w14:textId="77777777" w:rsidTr="001856CB">
        <w:trPr>
          <w:trHeight w:val="364"/>
        </w:trPr>
        <w:tc>
          <w:tcPr>
            <w:tcW w:w="4147" w:type="dxa"/>
          </w:tcPr>
          <w:p w14:paraId="799A3DD6" w14:textId="77777777" w:rsidR="00233CED" w:rsidRPr="0036636C" w:rsidRDefault="00233CED" w:rsidP="00233CED">
            <w:pPr>
              <w:keepNext/>
              <w:keepLines/>
              <w:widowControl w:val="0"/>
              <w:spacing w:after="120"/>
              <w:ind w:firstLine="720"/>
              <w:rPr>
                <w:rFonts w:ascii="Century Schoolbook" w:eastAsia="Calibri" w:hAnsi="Century Schoolbook"/>
                <w:szCs w:val="28"/>
              </w:rPr>
            </w:pPr>
          </w:p>
        </w:tc>
        <w:tc>
          <w:tcPr>
            <w:tcW w:w="4237" w:type="dxa"/>
            <w:tcBorders>
              <w:bottom w:val="single" w:sz="4" w:space="0" w:color="000000"/>
            </w:tcBorders>
            <w:vAlign w:val="bottom"/>
          </w:tcPr>
          <w:p w14:paraId="2D432A76" w14:textId="2101BA3B" w:rsidR="00233CED" w:rsidRPr="0036636C" w:rsidRDefault="00233CED" w:rsidP="00233CED">
            <w:pPr>
              <w:keepNext/>
              <w:keepLines/>
              <w:widowControl w:val="0"/>
              <w:rPr>
                <w:rFonts w:ascii="Century Schoolbook" w:eastAsia="Calibri" w:hAnsi="Century Schoolbook"/>
                <w:i/>
                <w:szCs w:val="28"/>
              </w:rPr>
            </w:pPr>
            <w:r w:rsidRPr="0036636C">
              <w:rPr>
                <w:rFonts w:ascii="Century Schoolbook" w:eastAsia="Calibri" w:hAnsi="Century Schoolbook"/>
                <w:i/>
                <w:szCs w:val="28"/>
              </w:rPr>
              <w:t xml:space="preserve"> s/</w:t>
            </w:r>
            <w:r w:rsidR="00ED7938" w:rsidRPr="00ED7938">
              <w:rPr>
                <w:rFonts w:ascii="Century Schoolbook" w:eastAsia="Calibri" w:hAnsi="Century Schoolbook"/>
                <w:i/>
                <w:szCs w:val="28"/>
                <w:highlight w:val="yellow"/>
              </w:rPr>
              <w:t>DRAFT</w:t>
            </w:r>
          </w:p>
        </w:tc>
      </w:tr>
      <w:tr w:rsidR="00233CED" w:rsidRPr="0036636C" w14:paraId="1FD9F4B2" w14:textId="77777777" w:rsidTr="001856CB">
        <w:trPr>
          <w:trHeight w:val="1636"/>
        </w:trPr>
        <w:tc>
          <w:tcPr>
            <w:tcW w:w="4147" w:type="dxa"/>
          </w:tcPr>
          <w:p w14:paraId="72305ECE" w14:textId="77777777" w:rsidR="00233CED" w:rsidRPr="0036636C" w:rsidRDefault="00233CED" w:rsidP="00233CED">
            <w:pPr>
              <w:keepNext/>
              <w:keepLines/>
              <w:widowControl w:val="0"/>
              <w:spacing w:after="120"/>
              <w:ind w:firstLine="720"/>
              <w:rPr>
                <w:rFonts w:ascii="Century Schoolbook" w:eastAsia="Calibri" w:hAnsi="Century Schoolbook"/>
                <w:szCs w:val="28"/>
              </w:rPr>
            </w:pPr>
          </w:p>
        </w:tc>
        <w:tc>
          <w:tcPr>
            <w:tcW w:w="4237" w:type="dxa"/>
            <w:tcBorders>
              <w:top w:val="single" w:sz="4" w:space="0" w:color="000000"/>
            </w:tcBorders>
          </w:tcPr>
          <w:p w14:paraId="44B1EF9C" w14:textId="77777777" w:rsidR="00233CED" w:rsidRPr="0036636C" w:rsidRDefault="00233CED" w:rsidP="00233CED">
            <w:pPr>
              <w:keepNext/>
              <w:keepLines/>
              <w:widowControl w:val="0"/>
              <w:rPr>
                <w:rFonts w:ascii="Century Schoolbook" w:eastAsia="Calibri" w:hAnsi="Century Schoolbook"/>
                <w:szCs w:val="28"/>
              </w:rPr>
            </w:pPr>
            <w:r w:rsidRPr="0036636C">
              <w:rPr>
                <w:rFonts w:ascii="Century Schoolbook" w:eastAsia="Calibri" w:hAnsi="Century Schoolbook"/>
                <w:szCs w:val="28"/>
              </w:rPr>
              <w:t>Josephine K. Petrick</w:t>
            </w:r>
          </w:p>
          <w:p w14:paraId="7942075D" w14:textId="41ADFC04" w:rsidR="00233CED" w:rsidRPr="0036636C" w:rsidRDefault="002D3178" w:rsidP="00233CED">
            <w:pPr>
              <w:keepNext/>
              <w:keepLines/>
              <w:widowControl w:val="0"/>
              <w:rPr>
                <w:rFonts w:ascii="Century Schoolbook" w:eastAsia="Calibri" w:hAnsi="Century Schoolbook"/>
                <w:szCs w:val="28"/>
              </w:rPr>
            </w:pPr>
            <w:r>
              <w:rPr>
                <w:rFonts w:ascii="Century Schoolbook" w:eastAsia="Calibri" w:hAnsi="Century Schoolbook"/>
                <w:szCs w:val="28"/>
              </w:rPr>
              <w:t>Counsel</w:t>
            </w:r>
            <w:r w:rsidR="00233CED" w:rsidRPr="0036636C">
              <w:rPr>
                <w:rFonts w:ascii="Century Schoolbook" w:eastAsia="Calibri" w:hAnsi="Century Schoolbook"/>
                <w:szCs w:val="28"/>
              </w:rPr>
              <w:t xml:space="preserve"> for Amici Curiae</w:t>
            </w:r>
          </w:p>
          <w:p w14:paraId="752176DD" w14:textId="77777777" w:rsidR="00233CED" w:rsidRPr="0036636C" w:rsidRDefault="00233CED" w:rsidP="00233CED">
            <w:pPr>
              <w:keepNext/>
              <w:keepLines/>
              <w:widowControl w:val="0"/>
              <w:rPr>
                <w:rFonts w:ascii="Century Schoolbook" w:eastAsia="Calibri" w:hAnsi="Century Schoolbook"/>
                <w:szCs w:val="28"/>
              </w:rPr>
            </w:pPr>
          </w:p>
        </w:tc>
      </w:tr>
    </w:tbl>
    <w:p w14:paraId="72D65516" w14:textId="77777777" w:rsidR="00233CED" w:rsidRPr="0036636C" w:rsidRDefault="00233CED" w:rsidP="00981741">
      <w:pPr>
        <w:jc w:val="center"/>
        <w:rPr>
          <w:rFonts w:ascii="Century Schoolbook" w:hAnsi="Century Schoolbook"/>
          <w:b/>
          <w:szCs w:val="28"/>
        </w:rPr>
      </w:pPr>
    </w:p>
    <w:bookmarkEnd w:id="39"/>
    <w:p w14:paraId="0D353752" w14:textId="5005126A" w:rsidR="00134752" w:rsidRPr="0036636C" w:rsidRDefault="00134752">
      <w:pPr>
        <w:pStyle w:val="SingleSpaced"/>
        <w:spacing w:line="240" w:lineRule="auto"/>
        <w:rPr>
          <w:rFonts w:ascii="Century Schoolbook" w:hAnsi="Century Schoolbook"/>
          <w:szCs w:val="28"/>
        </w:rPr>
      </w:pPr>
    </w:p>
    <w:sectPr w:rsidR="00134752" w:rsidRPr="0036636C" w:rsidSect="00ED7938">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19135" w14:textId="77777777" w:rsidR="003F5D24" w:rsidRDefault="003F5D24">
      <w:r>
        <w:separator/>
      </w:r>
    </w:p>
    <w:p w14:paraId="44DC88CD" w14:textId="77777777" w:rsidR="003F5D24" w:rsidRDefault="003F5D24"/>
    <w:p w14:paraId="5B79058D" w14:textId="77777777" w:rsidR="003F5D24" w:rsidRDefault="003F5D24"/>
  </w:endnote>
  <w:endnote w:type="continuationSeparator" w:id="0">
    <w:p w14:paraId="67903149" w14:textId="77777777" w:rsidR="003F5D24" w:rsidRDefault="003F5D24">
      <w:r>
        <w:continuationSeparator/>
      </w:r>
    </w:p>
    <w:p w14:paraId="21BF9D94" w14:textId="77777777" w:rsidR="003F5D24" w:rsidRDefault="003F5D24"/>
    <w:p w14:paraId="4F0D0B5C" w14:textId="77777777" w:rsidR="003F5D24" w:rsidRDefault="003F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21EB" w14:textId="09C1992C" w:rsidR="00134752" w:rsidRDefault="00134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6472">
      <w:rPr>
        <w:rStyle w:val="PageNumber"/>
        <w:noProof/>
      </w:rPr>
      <w:t>9</w:t>
    </w:r>
    <w:r>
      <w:rPr>
        <w:rStyle w:val="PageNumber"/>
      </w:rPr>
      <w:fldChar w:fldCharType="end"/>
    </w:r>
  </w:p>
  <w:bookmarkStart w:id="1" w:name="_iDocIDField5dccdaa5-0edf-4d4b-a6f5-2618"/>
  <w:p w14:paraId="3F0A2A02" w14:textId="77777777" w:rsidR="00134752" w:rsidRDefault="00134752">
    <w:pPr>
      <w:pStyle w:val="DocID"/>
    </w:pPr>
    <w:r>
      <w:fldChar w:fldCharType="begin"/>
    </w:r>
    <w:r>
      <w:instrText xml:space="preserve">  DOCPROPERTY "CUS_DocIDChunk0" </w:instrText>
    </w:r>
    <w:r>
      <w:fldChar w:fldCharType="separate"/>
    </w:r>
    <w:r w:rsidR="00A6386C">
      <w:t>DMSLIBRARY01\29841978.v1</w:t>
    </w:r>
    <w:r>
      <w:fldChar w:fldCharType="end"/>
    </w:r>
    <w:bookmarkEnd w:id="1"/>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D08B6" w14:textId="74D66218" w:rsidR="00EB425E" w:rsidRPr="00314B97" w:rsidRDefault="00002ECD" w:rsidP="00002ECD">
    <w:pPr>
      <w:pStyle w:val="Footer"/>
      <w:spacing w:line="240" w:lineRule="auto"/>
      <w:jc w:val="center"/>
      <w:rPr>
        <w:rFonts w:ascii="Century Schoolbook" w:hAnsi="Century Schoolbook"/>
      </w:rPr>
    </w:pPr>
    <w:r w:rsidRPr="00314B97">
      <w:rPr>
        <w:rFonts w:ascii="Century Schoolbook" w:hAnsi="Century Schoolbook"/>
      </w:rPr>
      <w:fldChar w:fldCharType="begin"/>
    </w:r>
    <w:r w:rsidRPr="00314B97">
      <w:rPr>
        <w:rFonts w:ascii="Century Schoolbook" w:hAnsi="Century Schoolbook"/>
      </w:rPr>
      <w:instrText xml:space="preserve"> PAGE   \* MERGEFORMAT </w:instrText>
    </w:r>
    <w:r w:rsidRPr="00314B97">
      <w:rPr>
        <w:rFonts w:ascii="Century Schoolbook" w:hAnsi="Century Schoolbook"/>
      </w:rPr>
      <w:fldChar w:fldCharType="separate"/>
    </w:r>
    <w:r w:rsidR="00423AA5">
      <w:rPr>
        <w:rFonts w:ascii="Century Schoolbook" w:hAnsi="Century Schoolbook"/>
        <w:noProof/>
      </w:rPr>
      <w:t>18</w:t>
    </w:r>
    <w:r w:rsidRPr="00314B97">
      <w:rPr>
        <w:rFonts w:ascii="Century Schoolbook" w:hAnsi="Century Schoolbook"/>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9C1C0" w14:textId="4E959AF0" w:rsidR="00002ECD" w:rsidRDefault="00002ECD" w:rsidP="00002ECD">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225803"/>
      <w:docPartObj>
        <w:docPartGallery w:val="Page Numbers (Bottom of Page)"/>
        <w:docPartUnique/>
      </w:docPartObj>
    </w:sdtPr>
    <w:sdtEndPr>
      <w:rPr>
        <w:rFonts w:ascii="Century Schoolbook" w:hAnsi="Century Schoolbook"/>
        <w:noProof/>
      </w:rPr>
    </w:sdtEndPr>
    <w:sdtContent>
      <w:p w14:paraId="27D566DA" w14:textId="77777777" w:rsidR="00002ECD" w:rsidRPr="00ED7938" w:rsidRDefault="00002ECD" w:rsidP="00002ECD">
        <w:pPr>
          <w:pStyle w:val="Footer"/>
          <w:jc w:val="center"/>
          <w:rPr>
            <w:rFonts w:ascii="Century Schoolbook" w:hAnsi="Century Schoolbook"/>
          </w:rPr>
        </w:pPr>
        <w:r w:rsidRPr="00ED7938">
          <w:rPr>
            <w:rFonts w:ascii="Century Schoolbook" w:hAnsi="Century Schoolbook"/>
          </w:rPr>
          <w:fldChar w:fldCharType="begin"/>
        </w:r>
        <w:r w:rsidRPr="00ED7938">
          <w:rPr>
            <w:rFonts w:ascii="Century Schoolbook" w:hAnsi="Century Schoolbook"/>
          </w:rPr>
          <w:instrText xml:space="preserve"> PAGE   \* MERGEFORMAT </w:instrText>
        </w:r>
        <w:r w:rsidRPr="00ED7938">
          <w:rPr>
            <w:rFonts w:ascii="Century Schoolbook" w:hAnsi="Century Schoolbook"/>
          </w:rPr>
          <w:fldChar w:fldCharType="separate"/>
        </w:r>
        <w:r w:rsidR="00423AA5">
          <w:rPr>
            <w:rFonts w:ascii="Century Schoolbook" w:hAnsi="Century Schoolbook"/>
            <w:noProof/>
          </w:rPr>
          <w:t>2</w:t>
        </w:r>
        <w:r w:rsidRPr="00ED7938">
          <w:rPr>
            <w:rFonts w:ascii="Century Schoolbook" w:hAnsi="Century Schoolbook"/>
            <w:noProof/>
          </w:rPr>
          <w:fldChar w:fldCharType="end"/>
        </w:r>
      </w:p>
    </w:sdtContent>
  </w:sdt>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DC4D" w14:textId="77777777" w:rsidR="00134752" w:rsidRDefault="00134752">
    <w:pPr>
      <w:pStyle w:val="DocI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B1569" w14:textId="77777777" w:rsidR="003F5D24" w:rsidRDefault="003F5D24">
      <w:r>
        <w:separator/>
      </w:r>
    </w:p>
  </w:footnote>
  <w:footnote w:type="continuationSeparator" w:id="0">
    <w:p w14:paraId="51A25D95" w14:textId="77777777" w:rsidR="003F5D24" w:rsidRDefault="003F5D24">
      <w:r>
        <w:continuationSeparator/>
      </w:r>
    </w:p>
    <w:p w14:paraId="5CED0499" w14:textId="77777777" w:rsidR="003F5D24" w:rsidRDefault="003F5D24"/>
    <w:p w14:paraId="0BD648C3" w14:textId="77777777" w:rsidR="003F5D24" w:rsidRDefault="003F5D24"/>
  </w:footnote>
  <w:footnote w:id="1">
    <w:p w14:paraId="15096804" w14:textId="56C217F2" w:rsidR="00F4317E" w:rsidRPr="00832D9A" w:rsidRDefault="00F4317E" w:rsidP="00515DC6">
      <w:pPr>
        <w:pStyle w:val="Footnote"/>
      </w:pPr>
      <w:r w:rsidRPr="00832D9A">
        <w:rPr>
          <w:rStyle w:val="FootnoteReference"/>
        </w:rPr>
        <w:footnoteRef/>
      </w:r>
      <w:r w:rsidRPr="00832D9A">
        <w:t xml:space="preserve"> No counsel for a party authored this brief in whole or in part,</w:t>
      </w:r>
      <w:r w:rsidR="00832D9A">
        <w:t xml:space="preserve"> </w:t>
      </w:r>
      <w:r w:rsidRPr="00832D9A">
        <w:t>and no counsel or party made a monetary contribution to fund the preparation or submission of this brief. No person or entity other than amicus curiae and its counsel made a monetary contribution to the preparation or submission of this brief. All parties have consented to the filing of this amicus brief.</w:t>
      </w:r>
    </w:p>
  </w:footnote>
  <w:footnote w:id="2">
    <w:p w14:paraId="5435BC8A" w14:textId="77777777" w:rsidR="00D6018C" w:rsidRPr="00952F64" w:rsidRDefault="00D6018C" w:rsidP="00515DC6">
      <w:pPr>
        <w:pStyle w:val="Footnote"/>
      </w:pPr>
      <w:r w:rsidRPr="00832D9A">
        <w:rPr>
          <w:rStyle w:val="FootnoteReference"/>
        </w:rPr>
        <w:footnoteRef/>
      </w:r>
      <w:r w:rsidRPr="00832D9A">
        <w:t xml:space="preserve"> Institutional affiliations are listed for identification purposes only; views expressed are those of the individuals.</w:t>
      </w:r>
    </w:p>
  </w:footnote>
  <w:footnote w:id="3">
    <w:p w14:paraId="1D9E4EE2" w14:textId="6F11C412" w:rsidR="0072484D" w:rsidRPr="005F255B" w:rsidRDefault="0072484D" w:rsidP="0030127A">
      <w:pPr>
        <w:pStyle w:val="Footnote"/>
      </w:pPr>
      <w:r>
        <w:rPr>
          <w:rStyle w:val="FootnoteReference"/>
        </w:rPr>
        <w:footnoteRef/>
      </w:r>
      <w:r>
        <w:t xml:space="preserve"> For good measure, the majority opinion added a discussion of the legislative history from Judge Bork of the D.C. Circuit to reinforce its holding.</w:t>
      </w:r>
      <w:r w:rsidR="000A2491">
        <w:t xml:space="preserve"> </w:t>
      </w:r>
      <w:r>
        <w:rPr>
          <w:i/>
          <w:iCs/>
        </w:rPr>
        <w:t xml:space="preserve">See id. </w:t>
      </w:r>
      <w:r>
        <w:t>at 896</w:t>
      </w:r>
      <w:r w:rsidR="001547FA">
        <w:t>–</w:t>
      </w:r>
      <w:r>
        <w:t xml:space="preserve">901 (drawing on </w:t>
      </w:r>
      <w:r w:rsidRPr="00D15124">
        <w:rPr>
          <w:i/>
          <w:iCs/>
        </w:rPr>
        <w:t>Maryland Dept. of Human Resources v. Department of Health and Human Services</w:t>
      </w:r>
      <w:r>
        <w:t>, 763 F.2d 1441 (1985) (Bork, J.)</w:t>
      </w:r>
      <w:r w:rsidR="001547FA">
        <w:t>)</w:t>
      </w:r>
      <w:r>
        <w:t>.</w:t>
      </w:r>
    </w:p>
  </w:footnote>
  <w:footnote w:id="4">
    <w:p w14:paraId="6F97BDAD" w14:textId="4C750033" w:rsidR="00B3782E" w:rsidRPr="00EA5859" w:rsidRDefault="00B3782E" w:rsidP="005E17AB">
      <w:pPr>
        <w:pStyle w:val="Footnote"/>
      </w:pPr>
      <w:r>
        <w:rPr>
          <w:rStyle w:val="FootnoteReference"/>
        </w:rPr>
        <w:footnoteRef/>
      </w:r>
      <w:r>
        <w:t xml:space="preserve"> </w:t>
      </w:r>
      <w:r w:rsidRPr="001616C5">
        <w:t xml:space="preserve">Some </w:t>
      </w:r>
      <w:r w:rsidR="007245F4">
        <w:t xml:space="preserve">courts and </w:t>
      </w:r>
      <w:r w:rsidRPr="001616C5">
        <w:t xml:space="preserve">commentators </w:t>
      </w:r>
      <w:r>
        <w:t>predicted</w:t>
      </w:r>
      <w:r w:rsidRPr="001616C5">
        <w:t xml:space="preserve"> that emergency stay grants, when accompanied by an opinion joined by </w:t>
      </w:r>
      <w:proofErr w:type="gramStart"/>
      <w:r w:rsidRPr="001616C5">
        <w:t>a majority of</w:t>
      </w:r>
      <w:proofErr w:type="gramEnd"/>
      <w:r w:rsidRPr="001616C5">
        <w:t xml:space="preserve"> the Court, may carry some precedential force. </w:t>
      </w:r>
      <w:r w:rsidR="007245F4" w:rsidRPr="007245F4">
        <w:rPr>
          <w:i/>
          <w:iCs/>
        </w:rPr>
        <w:t>See</w:t>
      </w:r>
      <w:r w:rsidR="007245F4">
        <w:t xml:space="preserve"> </w:t>
      </w:r>
      <w:r w:rsidRPr="001616C5">
        <w:t xml:space="preserve">Hon. Trevor N. McFadden &amp; </w:t>
      </w:r>
      <w:proofErr w:type="spellStart"/>
      <w:r w:rsidRPr="001616C5">
        <w:t>Vetan</w:t>
      </w:r>
      <w:proofErr w:type="spellEnd"/>
      <w:r w:rsidRPr="001616C5">
        <w:t xml:space="preserve"> Kapoor, </w:t>
      </w:r>
      <w:r w:rsidRPr="001616C5">
        <w:rPr>
          <w:i/>
          <w:iCs/>
        </w:rPr>
        <w:t>The Precedential Effects of the Supreme Court’s Emergency Stays</w:t>
      </w:r>
      <w:r w:rsidRPr="001616C5">
        <w:t xml:space="preserve">, 44 </w:t>
      </w:r>
      <w:r w:rsidRPr="00FE284A">
        <w:rPr>
          <w:smallCaps/>
        </w:rPr>
        <w:t xml:space="preserve">Harv. J. L. &amp; Pub. </w:t>
      </w:r>
      <w:proofErr w:type="spellStart"/>
      <w:r w:rsidRPr="00FE284A">
        <w:rPr>
          <w:smallCaps/>
        </w:rPr>
        <w:t>Pol’y</w:t>
      </w:r>
      <w:proofErr w:type="spellEnd"/>
      <w:r w:rsidRPr="00285D3A">
        <w:t xml:space="preserve"> 827, 831 (2021)</w:t>
      </w:r>
      <w:r w:rsidR="007245F4" w:rsidRPr="00285D3A">
        <w:t xml:space="preserve">; </w:t>
      </w:r>
      <w:r w:rsidR="007245F4" w:rsidRPr="00285D3A">
        <w:rPr>
          <w:i/>
          <w:iCs/>
        </w:rPr>
        <w:t>Casa de Maryland v. Trump</w:t>
      </w:r>
      <w:r w:rsidR="007245F4" w:rsidRPr="00285D3A">
        <w:t>, 971 F.3d 220</w:t>
      </w:r>
      <w:r w:rsidR="00285D3A" w:rsidRPr="00285D3A">
        <w:t>, 230</w:t>
      </w:r>
      <w:r w:rsidR="007245F4" w:rsidRPr="00285D3A">
        <w:t xml:space="preserve"> (4th Cir. 2020)</w:t>
      </w:r>
      <w:r w:rsidR="00285D3A" w:rsidRPr="00285D3A">
        <w:t xml:space="preserve">, </w:t>
      </w:r>
      <w:proofErr w:type="spellStart"/>
      <w:r w:rsidR="00285D3A" w:rsidRPr="00285D3A">
        <w:rPr>
          <w:i/>
          <w:iCs/>
        </w:rPr>
        <w:t>reh’g</w:t>
      </w:r>
      <w:proofErr w:type="spellEnd"/>
      <w:r w:rsidR="00285D3A" w:rsidRPr="00285D3A">
        <w:rPr>
          <w:i/>
          <w:iCs/>
        </w:rPr>
        <w:t xml:space="preserve"> </w:t>
      </w:r>
      <w:proofErr w:type="spellStart"/>
      <w:r w:rsidR="00285D3A" w:rsidRPr="00285D3A">
        <w:rPr>
          <w:i/>
          <w:iCs/>
        </w:rPr>
        <w:t>en</w:t>
      </w:r>
      <w:proofErr w:type="spellEnd"/>
      <w:r w:rsidR="00285D3A" w:rsidRPr="00285D3A">
        <w:rPr>
          <w:i/>
          <w:iCs/>
        </w:rPr>
        <w:t xml:space="preserve"> banc granted</w:t>
      </w:r>
      <w:r w:rsidR="00285D3A" w:rsidRPr="00285D3A">
        <w:t xml:space="preserve">, </w:t>
      </w:r>
      <w:r w:rsidR="00285D3A">
        <w:t>981 F.3d 311 (4th Cir. 2020)</w:t>
      </w:r>
      <w:r w:rsidR="001900FD">
        <w:t xml:space="preserve">, </w:t>
      </w:r>
      <w:r w:rsidR="001900FD" w:rsidRPr="001900FD">
        <w:rPr>
          <w:i/>
          <w:iCs/>
        </w:rPr>
        <w:t xml:space="preserve">appeal </w:t>
      </w:r>
      <w:proofErr w:type="spellStart"/>
      <w:r w:rsidR="001900FD" w:rsidRPr="001900FD">
        <w:rPr>
          <w:i/>
          <w:iCs/>
        </w:rPr>
        <w:t>dism</w:t>
      </w:r>
      <w:proofErr w:type="spellEnd"/>
      <w:r w:rsidR="001900FD" w:rsidRPr="001900FD">
        <w:rPr>
          <w:i/>
          <w:iCs/>
        </w:rPr>
        <w:t>.</w:t>
      </w:r>
      <w:r w:rsidR="001900FD">
        <w:t xml:space="preserve">, </w:t>
      </w:r>
      <w:proofErr w:type="spellStart"/>
      <w:r w:rsidR="001900FD">
        <w:t>Dkt</w:t>
      </w:r>
      <w:proofErr w:type="spellEnd"/>
      <w:r w:rsidR="001900FD">
        <w:t>. No. 211 (Mar. 11, 2021)</w:t>
      </w:r>
      <w:r w:rsidRPr="001616C5">
        <w:t>.</w:t>
      </w:r>
      <w:r>
        <w:t xml:space="preserve"> But </w:t>
      </w:r>
      <w:r w:rsidR="00EA5859">
        <w:t>those predictions</w:t>
      </w:r>
      <w:r w:rsidR="007245F4">
        <w:t xml:space="preserve"> </w:t>
      </w:r>
      <w:r>
        <w:t xml:space="preserve">predated </w:t>
      </w:r>
      <w:r w:rsidRPr="00B3782E">
        <w:rPr>
          <w:i/>
          <w:iCs/>
        </w:rPr>
        <w:t>Fulton</w:t>
      </w:r>
      <w:r>
        <w:t>, 593 U.S. 522</w:t>
      </w:r>
      <w:r w:rsidR="00A831D5">
        <w:t xml:space="preserve"> (2021)</w:t>
      </w:r>
      <w:r>
        <w:t xml:space="preserve">, </w:t>
      </w:r>
      <w:r w:rsidR="006A7F01">
        <w:t xml:space="preserve">and </w:t>
      </w:r>
      <w:r w:rsidR="006A7F01" w:rsidRPr="003A50A8">
        <w:rPr>
          <w:i/>
          <w:iCs/>
        </w:rPr>
        <w:t>Merrill</w:t>
      </w:r>
      <w:r w:rsidR="006A7F01">
        <w:t>, 142 S. Ct. 879</w:t>
      </w:r>
      <w:r w:rsidR="00A831D5">
        <w:t xml:space="preserve"> (2022)</w:t>
      </w:r>
      <w:r>
        <w:t xml:space="preserve">. </w:t>
      </w:r>
      <w:r w:rsidRPr="00B3782E">
        <w:rPr>
          <w:i/>
          <w:iCs/>
        </w:rPr>
        <w:t xml:space="preserve">See </w:t>
      </w:r>
      <w:r w:rsidRPr="00565B13">
        <w:t xml:space="preserve">Huang, </w:t>
      </w:r>
      <w:r w:rsidR="00565B13" w:rsidRPr="00565B13">
        <w:rPr>
          <w:i/>
          <w:iCs/>
        </w:rPr>
        <w:t>supra</w:t>
      </w:r>
      <w:r w:rsidR="00565B13">
        <w:t xml:space="preserve">, </w:t>
      </w:r>
      <w:r>
        <w:t>at 868 n.67.</w:t>
      </w:r>
      <w:r w:rsidR="00FD1159">
        <w:t xml:space="preserve"> </w:t>
      </w:r>
      <w:r w:rsidR="00FD1159" w:rsidRPr="001616C5">
        <w:t>They also recognize</w:t>
      </w:r>
      <w:r w:rsidR="00FD1159">
        <w:t>d</w:t>
      </w:r>
      <w:r w:rsidR="00FD1159" w:rsidRPr="001616C5">
        <w:t xml:space="preserve"> that </w:t>
      </w:r>
      <w:r w:rsidR="00FD1159">
        <w:t>emergency</w:t>
      </w:r>
      <w:r w:rsidR="00EA5859">
        <w:t xml:space="preserve"> </w:t>
      </w:r>
      <w:r w:rsidR="00FD1159">
        <w:t>stay</w:t>
      </w:r>
      <w:r w:rsidR="00FD1159" w:rsidRPr="001616C5">
        <w:t xml:space="preserve"> orders </w:t>
      </w:r>
      <w:r w:rsidR="00EA5859">
        <w:t>carry</w:t>
      </w:r>
      <w:r w:rsidR="00FD1159" w:rsidRPr="001616C5">
        <w:t xml:space="preserve"> less precedential weight than merits decision</w:t>
      </w:r>
      <w:r w:rsidR="00FD1159">
        <w:t>s</w:t>
      </w:r>
      <w:r w:rsidR="00FD1159" w:rsidRPr="001616C5">
        <w:t xml:space="preserve"> and may serve only as “strong signals from the Court about how to resolve an ambiguity in the law</w:t>
      </w:r>
      <w:r w:rsidR="00FD2539">
        <w:t>,”</w:t>
      </w:r>
      <w:r w:rsidR="00FD1159">
        <w:t xml:space="preserve"> McFadden &amp; Kapoor, </w:t>
      </w:r>
      <w:r w:rsidR="00FB1EF8" w:rsidRPr="00FB1EF8">
        <w:rPr>
          <w:i/>
          <w:iCs/>
        </w:rPr>
        <w:t>supra</w:t>
      </w:r>
      <w:r w:rsidR="00FB1EF8">
        <w:t>,</w:t>
      </w:r>
      <w:r w:rsidR="005E17AB" w:rsidRPr="00285D3A">
        <w:t xml:space="preserve"> </w:t>
      </w:r>
      <w:r w:rsidR="00FD1159">
        <w:t>at 831</w:t>
      </w:r>
      <w:r w:rsidR="007245F4">
        <w:t xml:space="preserve">; </w:t>
      </w:r>
      <w:r w:rsidR="007245F4" w:rsidRPr="007245F4">
        <w:rPr>
          <w:i/>
          <w:iCs/>
        </w:rPr>
        <w:t>see Casa de Maryland</w:t>
      </w:r>
      <w:r w:rsidR="007245F4">
        <w:t>, 971 F.3d at 230 (similar)</w:t>
      </w:r>
      <w:r w:rsidR="00FD2539">
        <w:t xml:space="preserve">—not to overturn </w:t>
      </w:r>
      <w:r w:rsidR="008A4EDD">
        <w:t xml:space="preserve">the Court’s </w:t>
      </w:r>
      <w:r w:rsidR="00EA5859">
        <w:t xml:space="preserve">settled </w:t>
      </w:r>
      <w:r w:rsidR="00FD2539">
        <w:t xml:space="preserve">merits </w:t>
      </w:r>
      <w:r w:rsidR="008A4EDD">
        <w:t>precedents</w:t>
      </w:r>
      <w:r w:rsidR="00FD2539">
        <w:t>.</w:t>
      </w:r>
    </w:p>
  </w:footnote>
  <w:footnote w:id="5">
    <w:p w14:paraId="590669E7" w14:textId="0B0154DD" w:rsidR="00B05D6F" w:rsidRDefault="00B05D6F" w:rsidP="00B05D6F">
      <w:pPr>
        <w:pStyle w:val="Body"/>
        <w:spacing w:line="240" w:lineRule="auto"/>
      </w:pPr>
      <w:r>
        <w:rPr>
          <w:rStyle w:val="FootnoteReference"/>
        </w:rPr>
        <w:footnoteRef/>
      </w:r>
      <w:r>
        <w:t xml:space="preserve"> </w:t>
      </w:r>
      <w:r w:rsidRPr="00D57B47">
        <w:rPr>
          <w:i/>
          <w:iCs/>
        </w:rPr>
        <w:t>See</w:t>
      </w:r>
      <w:r w:rsidRPr="00D61723">
        <w:t xml:space="preserve"> </w:t>
      </w:r>
      <w:r w:rsidRPr="00D61723">
        <w:rPr>
          <w:i/>
          <w:iCs/>
        </w:rPr>
        <w:t>Am. Ctr. Center for Int’l Labor Solidarity v. Chavez–Deremer</w:t>
      </w:r>
      <w:r>
        <w:t xml:space="preserve">, No. CV 25-1128 (BAH), 2025 WL 1795090, at *20 (D.D.C. June 30, 2025); </w:t>
      </w:r>
      <w:r w:rsidRPr="00D61723">
        <w:rPr>
          <w:i/>
          <w:iCs/>
        </w:rPr>
        <w:t xml:space="preserve">La. Delta Service Corps v. Corp. for Nat’l &amp; </w:t>
      </w:r>
      <w:proofErr w:type="spellStart"/>
      <w:r w:rsidRPr="00D61723">
        <w:rPr>
          <w:i/>
          <w:iCs/>
        </w:rPr>
        <w:t>Cmty</w:t>
      </w:r>
      <w:proofErr w:type="spellEnd"/>
      <w:r w:rsidRPr="00D61723">
        <w:rPr>
          <w:i/>
          <w:iCs/>
        </w:rPr>
        <w:t>. Serv.</w:t>
      </w:r>
      <w:r>
        <w:t xml:space="preserve">, No. CV 25-378-JWD-RLB, 2025 WL 1787429, at *22 (M.D. La. June 27, 2025); </w:t>
      </w:r>
      <w:r w:rsidRPr="00D61723">
        <w:rPr>
          <w:i/>
          <w:iCs/>
        </w:rPr>
        <w:t>S. Educ. Found. v. United States Dep’t of Educ.</w:t>
      </w:r>
      <w:r>
        <w:t>, No. CV 25-1079 (PLF), 2025 WL 1453047, at *9 &amp; n.3 (D.D.C. May 21, 2025) (</w:t>
      </w:r>
      <w:r w:rsidRPr="00AB79CC">
        <w:rPr>
          <w:i/>
          <w:iCs/>
        </w:rPr>
        <w:t>DOE</w:t>
      </w:r>
      <w:r>
        <w:t xml:space="preserve"> has limited precedential value and “does not displace governing law,” including </w:t>
      </w:r>
      <w:r w:rsidRPr="00A86B9A">
        <w:rPr>
          <w:i/>
          <w:iCs/>
        </w:rPr>
        <w:t>Bowen</w:t>
      </w:r>
      <w:r>
        <w:t xml:space="preserve">); </w:t>
      </w:r>
      <w:r w:rsidRPr="00D61723">
        <w:rPr>
          <w:i/>
          <w:iCs/>
        </w:rPr>
        <w:t>Colorado v. U.S. Dep’t of Health &amp; Hum. Servs.</w:t>
      </w:r>
      <w:r>
        <w:t xml:space="preserve">, No. 1:25-CV-00121-MSM-LDA, 2025 WL 1426226, at *9 &amp; n.10 (D.R.I. May 16, 2025); </w:t>
      </w:r>
      <w:proofErr w:type="spellStart"/>
      <w:r w:rsidRPr="007A5E10">
        <w:rPr>
          <w:i/>
          <w:iCs/>
        </w:rPr>
        <w:t>Ass’n</w:t>
      </w:r>
      <w:proofErr w:type="spellEnd"/>
      <w:r w:rsidRPr="007A5E10">
        <w:rPr>
          <w:i/>
          <w:iCs/>
        </w:rPr>
        <w:t xml:space="preserve"> of Am. Universities v. Dep’t of Energy</w:t>
      </w:r>
      <w:r>
        <w:t xml:space="preserve">, No. 25-CV-10912-ADB, 2025 WL 1414135, at *7 (D. Mass. May 15, 2025); </w:t>
      </w:r>
      <w:r w:rsidRPr="007306BF">
        <w:rPr>
          <w:i/>
          <w:iCs/>
        </w:rPr>
        <w:t xml:space="preserve">AIDS Vaccine </w:t>
      </w:r>
      <w:proofErr w:type="spellStart"/>
      <w:r w:rsidRPr="007306BF">
        <w:rPr>
          <w:i/>
          <w:iCs/>
        </w:rPr>
        <w:t>Advoc</w:t>
      </w:r>
      <w:proofErr w:type="spellEnd"/>
      <w:r w:rsidRPr="007306BF">
        <w:rPr>
          <w:i/>
          <w:iCs/>
        </w:rPr>
        <w:t>. Coal. v. United States Dep’t of State</w:t>
      </w:r>
      <w:r>
        <w:t xml:space="preserve">, No. CV 25-00400 (AHA), 2025 WL 1380421, at *3 (D.D.C. May 13, 2025); </w:t>
      </w:r>
      <w:r w:rsidRPr="00074EFF">
        <w:rPr>
          <w:i/>
          <w:iCs/>
        </w:rPr>
        <w:t>Rhode Island v. Trump</w:t>
      </w:r>
      <w:r>
        <w:t xml:space="preserve">, No. 1:25-cv-128-JJM-LDA, 2025 WL 1303868, at *5 (D.R.I. May 6, 2025); </w:t>
      </w:r>
      <w:r w:rsidRPr="00D64EB0">
        <w:rPr>
          <w:i/>
          <w:iCs/>
        </w:rPr>
        <w:t>S.F. Unified Sch. Dist. v. AmeriCorps</w:t>
      </w:r>
      <w:r>
        <w:t xml:space="preserve">, No. 25-CV-02425-EMC, 2025 WL 1180729, at *8 (N.D. Cal. Apr. 23, 2025); </w:t>
      </w:r>
      <w:proofErr w:type="spellStart"/>
      <w:r w:rsidRPr="002A60A2">
        <w:rPr>
          <w:i/>
          <w:iCs/>
        </w:rPr>
        <w:t>Woonasquatucket</w:t>
      </w:r>
      <w:proofErr w:type="spellEnd"/>
      <w:r w:rsidRPr="002A60A2">
        <w:rPr>
          <w:i/>
          <w:iCs/>
        </w:rPr>
        <w:t xml:space="preserve"> River Watershed Council v. U.S. Dep’t of Agric.</w:t>
      </w:r>
      <w:r>
        <w:t xml:space="preserve">, No. 1:25-CV-00097-MSM-PAS, </w:t>
      </w:r>
      <w:r w:rsidRPr="00AB79CC">
        <w:t>– F.</w:t>
      </w:r>
      <w:r>
        <w:t xml:space="preserve"> </w:t>
      </w:r>
      <w:r w:rsidRPr="00AB79CC">
        <w:t>Supp.</w:t>
      </w:r>
      <w:r>
        <w:t xml:space="preserve"> </w:t>
      </w:r>
      <w:r w:rsidRPr="00AB79CC">
        <w:t>3d –</w:t>
      </w:r>
      <w:r>
        <w:t>, 2025 WL 1116157, at *15 (D.R.I. Apr. 15, 2025)</w:t>
      </w:r>
      <w:r w:rsidRPr="00AB79CC">
        <w:t xml:space="preserve"> (concluding that the court “cannot disregard </w:t>
      </w:r>
      <w:r w:rsidRPr="002A60A2">
        <w:rPr>
          <w:i/>
          <w:iCs/>
        </w:rPr>
        <w:t>Bowen</w:t>
      </w:r>
      <w:r w:rsidRPr="00AB79CC">
        <w:t xml:space="preserve"> </w:t>
      </w:r>
      <w:r w:rsidR="00304156">
        <w:t>. . .</w:t>
      </w:r>
      <w:r w:rsidRPr="00AB79CC">
        <w:t xml:space="preserve"> [e]</w:t>
      </w:r>
      <w:proofErr w:type="spellStart"/>
      <w:r w:rsidRPr="00AB79CC">
        <w:t>ven</w:t>
      </w:r>
      <w:proofErr w:type="spellEnd"/>
      <w:r w:rsidRPr="00AB79CC">
        <w:t xml:space="preserve"> if it looks like [</w:t>
      </w:r>
      <w:r w:rsidRPr="002A60A2">
        <w:rPr>
          <w:i/>
          <w:iCs/>
        </w:rPr>
        <w:t>DOE</w:t>
      </w:r>
      <w:r w:rsidRPr="00AB79CC">
        <w:t>] has ‘implicitly overruled’” it)</w:t>
      </w:r>
      <w:r>
        <w:t xml:space="preserve">; </w:t>
      </w:r>
      <w:r w:rsidRPr="00D57B47">
        <w:rPr>
          <w:i/>
          <w:iCs/>
        </w:rPr>
        <w:t>Massachusetts v. Kennedy</w:t>
      </w:r>
      <w:r w:rsidRPr="00D57B47">
        <w:t>, No. 25-cv-10814-WGY</w:t>
      </w:r>
      <w:r>
        <w:t xml:space="preserve">, </w:t>
      </w:r>
      <w:r w:rsidRPr="00890ABD">
        <w:t>2025 WL 1371785</w:t>
      </w:r>
      <w:r>
        <w:t xml:space="preserve">, at *4–9 </w:t>
      </w:r>
      <w:r w:rsidRPr="00D57B47">
        <w:t>(D. Mass. Mar. 12, 2025)</w:t>
      </w:r>
      <w:r>
        <w:t xml:space="preserve"> (collecting cases); </w:t>
      </w:r>
      <w:proofErr w:type="spellStart"/>
      <w:r w:rsidRPr="009207B2">
        <w:rPr>
          <w:i/>
          <w:iCs/>
        </w:rPr>
        <w:t>Cmty</w:t>
      </w:r>
      <w:proofErr w:type="spellEnd"/>
      <w:r w:rsidRPr="009207B2">
        <w:rPr>
          <w:i/>
          <w:iCs/>
        </w:rPr>
        <w:t>. Legal Servs. in E. Palo Alto v. United States Dep’t of Health &amp; Hum. Servs.</w:t>
      </w:r>
      <w:r>
        <w:t>, No. 25-CV-02847-AMO, 2025 WL 1168898, at *3 (N.D. Cal. Apr. 21, 2025) (</w:t>
      </w:r>
      <w:r w:rsidRPr="009207B2">
        <w:rPr>
          <w:i/>
          <w:iCs/>
        </w:rPr>
        <w:t>DOE</w:t>
      </w:r>
      <w:r>
        <w:t xml:space="preserve"> “does not represent a significant change in the law”); </w:t>
      </w:r>
      <w:r w:rsidRPr="00074EFF">
        <w:rPr>
          <w:i/>
          <w:iCs/>
        </w:rPr>
        <w:t>New York v. Trump</w:t>
      </w:r>
      <w:r>
        <w:t xml:space="preserve">, </w:t>
      </w:r>
      <w:r w:rsidRPr="00074EFF">
        <w:t>No. 1:25-cv-39-JJM-PAS</w:t>
      </w:r>
      <w:r>
        <w:t xml:space="preserve">, 2025 WL 1098966, at *2 (D.R.I. Apr. 14, 2025); </w:t>
      </w:r>
      <w:r w:rsidRPr="00511E40">
        <w:rPr>
          <w:i/>
          <w:iCs/>
        </w:rPr>
        <w:t>but cf., e.g.</w:t>
      </w:r>
      <w:r>
        <w:t xml:space="preserve">, </w:t>
      </w:r>
      <w:r w:rsidRPr="00511E40">
        <w:rPr>
          <w:i/>
          <w:iCs/>
        </w:rPr>
        <w:t xml:space="preserve">Harris </w:t>
      </w:r>
      <w:proofErr w:type="spellStart"/>
      <w:r w:rsidRPr="00511E40">
        <w:rPr>
          <w:i/>
          <w:iCs/>
        </w:rPr>
        <w:t>Cnty</w:t>
      </w:r>
      <w:proofErr w:type="spellEnd"/>
      <w:r w:rsidRPr="00511E40">
        <w:rPr>
          <w:i/>
          <w:iCs/>
        </w:rPr>
        <w:t>., Texas v. Kennedy</w:t>
      </w:r>
      <w:r>
        <w:t xml:space="preserve">, No. 25-CV-1275 (CRC), 2025 WL 1707665, at *14–15 (D.D.C. June 17, 2025) (giving </w:t>
      </w:r>
      <w:r w:rsidRPr="00D61723">
        <w:rPr>
          <w:i/>
          <w:iCs/>
        </w:rPr>
        <w:t>DOE</w:t>
      </w:r>
      <w:r>
        <w:t xml:space="preserve"> weight and collecting opinions applying </w:t>
      </w:r>
      <w:r w:rsidRPr="00D61723">
        <w:rPr>
          <w:i/>
          <w:iCs/>
        </w:rPr>
        <w:t>DOE</w:t>
      </w:r>
      <w:r>
        <w:t xml:space="preserve"> in different ways); </w:t>
      </w:r>
      <w:r w:rsidRPr="00183CE2">
        <w:rPr>
          <w:i/>
          <w:iCs/>
        </w:rPr>
        <w:t>Vera Institute of Justice v. U.S. D.O.J.</w:t>
      </w:r>
      <w:r>
        <w:t>, No. 25-CV-1643 (APM), 2025 WL 1865160, at *9 (D.D.C. July 7, 2025) (same).</w:t>
      </w:r>
    </w:p>
  </w:footnote>
  <w:footnote w:id="6">
    <w:p w14:paraId="094B8F73" w14:textId="2E6F2F65" w:rsidR="00515DC6" w:rsidRDefault="00515DC6" w:rsidP="003A1CA7">
      <w:pPr>
        <w:pStyle w:val="Footnote"/>
      </w:pPr>
      <w:r>
        <w:rPr>
          <w:rStyle w:val="FootnoteReference"/>
        </w:rPr>
        <w:footnoteRef/>
      </w:r>
      <w:r>
        <w:t xml:space="preserve"> The Government claims that Plaintiffs’ allegations about their pocketbook harm establishes that they in fact seek monetary relief on the Acacia contract, </w:t>
      </w:r>
      <w:r w:rsidRPr="00515DC6">
        <w:rPr>
          <w:i/>
          <w:iCs/>
        </w:rPr>
        <w:t>see</w:t>
      </w:r>
      <w:r>
        <w:t xml:space="preserve"> 9th Cir. </w:t>
      </w:r>
      <w:proofErr w:type="spellStart"/>
      <w:r>
        <w:t>Dkt</w:t>
      </w:r>
      <w:proofErr w:type="spellEnd"/>
      <w:r>
        <w:t xml:space="preserve">. No. 14.1 at 6; </w:t>
      </w:r>
      <w:proofErr w:type="spellStart"/>
      <w:r>
        <w:t>Compl</w:t>
      </w:r>
      <w:proofErr w:type="spellEnd"/>
      <w:r>
        <w:t xml:space="preserve">. </w:t>
      </w:r>
      <w:r w:rsidRPr="00515DC6">
        <w:t>¶¶</w:t>
      </w:r>
      <w:r>
        <w:t> </w:t>
      </w:r>
      <w:r w:rsidRPr="00515DC6">
        <w:t>98–126</w:t>
      </w:r>
      <w:r>
        <w:t xml:space="preserve">, but such allegations establish Plaintiffs’ standing to seek injunctive relief; they do not define the nature of the relief sought nor transform Plaintiffs’ claims into requests for monetary relief. </w:t>
      </w:r>
      <w:r w:rsidR="003A1CA7" w:rsidRPr="003A1CA7">
        <w:rPr>
          <w:i/>
          <w:iCs/>
        </w:rPr>
        <w:t>See</w:t>
      </w:r>
      <w:r w:rsidR="003A1CA7">
        <w:t xml:space="preserve"> </w:t>
      </w:r>
      <w:r w:rsidR="00852A77" w:rsidRPr="00852A77">
        <w:rPr>
          <w:i/>
          <w:iCs/>
        </w:rPr>
        <w:t xml:space="preserve">Corner Post, Inc. v. Bd. of Governors of Fed. </w:t>
      </w:r>
      <w:proofErr w:type="spellStart"/>
      <w:r w:rsidR="00852A77" w:rsidRPr="00852A77">
        <w:rPr>
          <w:i/>
          <w:iCs/>
        </w:rPr>
        <w:t>Rsrv</w:t>
      </w:r>
      <w:proofErr w:type="spellEnd"/>
      <w:r w:rsidR="00852A77" w:rsidRPr="00852A77">
        <w:rPr>
          <w:i/>
          <w:iCs/>
        </w:rPr>
        <w:t>. Sys.</w:t>
      </w:r>
      <w:r w:rsidR="00852A77">
        <w:t>, 603 U.S. 799, 808 (2024) (“[A] litigant cannot bring an APA claim unless and until she suffers an injury.”)</w:t>
      </w:r>
      <w:r w:rsidR="00114624">
        <w:t>; 5 U.S.C. § 702 (“A person suffering legal wrong because of agency action, or adversely affected or aggrieved by agency action within the meaning of a relevant statute, is entitled to judicial review thereof.”).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007D" w14:textId="77777777" w:rsidR="0051344D" w:rsidRDefault="005134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A2EA20"/>
    <w:lvl w:ilvl="0">
      <w:start w:val="1"/>
      <w:numFmt w:val="decimal"/>
      <w:lvlText w:val="%1."/>
      <w:lvlJc w:val="left"/>
      <w:pPr>
        <w:tabs>
          <w:tab w:val="num" w:pos="1800"/>
        </w:tabs>
        <w:ind w:left="1800" w:hanging="360"/>
      </w:pPr>
    </w:lvl>
  </w:abstractNum>
  <w:abstractNum w:abstractNumId="1">
    <w:nsid w:val="FFFFFF7D"/>
    <w:multiLevelType w:val="singleLevel"/>
    <w:tmpl w:val="A1D26FE6"/>
    <w:lvl w:ilvl="0">
      <w:start w:val="1"/>
      <w:numFmt w:val="decimal"/>
      <w:lvlText w:val="%1."/>
      <w:lvlJc w:val="left"/>
      <w:pPr>
        <w:tabs>
          <w:tab w:val="num" w:pos="1440"/>
        </w:tabs>
        <w:ind w:left="1440" w:hanging="360"/>
      </w:pPr>
    </w:lvl>
  </w:abstractNum>
  <w:abstractNum w:abstractNumId="2">
    <w:nsid w:val="FFFFFF7E"/>
    <w:multiLevelType w:val="singleLevel"/>
    <w:tmpl w:val="62B2B3A2"/>
    <w:lvl w:ilvl="0">
      <w:start w:val="1"/>
      <w:numFmt w:val="decimal"/>
      <w:lvlText w:val="%1."/>
      <w:lvlJc w:val="left"/>
      <w:pPr>
        <w:tabs>
          <w:tab w:val="num" w:pos="1080"/>
        </w:tabs>
        <w:ind w:left="1080" w:hanging="360"/>
      </w:pPr>
    </w:lvl>
  </w:abstractNum>
  <w:abstractNum w:abstractNumId="3">
    <w:nsid w:val="FFFFFF7F"/>
    <w:multiLevelType w:val="singleLevel"/>
    <w:tmpl w:val="A6F80BCE"/>
    <w:lvl w:ilvl="0">
      <w:start w:val="1"/>
      <w:numFmt w:val="decimal"/>
      <w:lvlText w:val="%1."/>
      <w:lvlJc w:val="left"/>
      <w:pPr>
        <w:tabs>
          <w:tab w:val="num" w:pos="720"/>
        </w:tabs>
        <w:ind w:left="720" w:hanging="360"/>
      </w:pPr>
    </w:lvl>
  </w:abstractNum>
  <w:abstractNum w:abstractNumId="4">
    <w:nsid w:val="FFFFFF80"/>
    <w:multiLevelType w:val="singleLevel"/>
    <w:tmpl w:val="88325A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DA4B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448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A047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422EE2"/>
    <w:lvl w:ilvl="0">
      <w:start w:val="1"/>
      <w:numFmt w:val="decimal"/>
      <w:lvlText w:val="%1."/>
      <w:lvlJc w:val="left"/>
      <w:pPr>
        <w:tabs>
          <w:tab w:val="num" w:pos="360"/>
        </w:tabs>
        <w:ind w:left="360" w:hanging="360"/>
      </w:pPr>
    </w:lvl>
  </w:abstractNum>
  <w:abstractNum w:abstractNumId="9">
    <w:nsid w:val="FFFFFF89"/>
    <w:multiLevelType w:val="singleLevel"/>
    <w:tmpl w:val="E1AAD1EA"/>
    <w:lvl w:ilvl="0">
      <w:start w:val="1"/>
      <w:numFmt w:val="bullet"/>
      <w:lvlText w:val=""/>
      <w:lvlJc w:val="left"/>
      <w:pPr>
        <w:tabs>
          <w:tab w:val="num" w:pos="360"/>
        </w:tabs>
        <w:ind w:left="360" w:hanging="360"/>
      </w:pPr>
      <w:rPr>
        <w:rFonts w:ascii="Symbol" w:hAnsi="Symbol" w:hint="default"/>
      </w:rPr>
    </w:lvl>
  </w:abstractNum>
  <w:abstractNum w:abstractNumId="10">
    <w:nsid w:val="0DD1415E"/>
    <w:multiLevelType w:val="hybridMultilevel"/>
    <w:tmpl w:val="E4B4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4D57AE"/>
    <w:multiLevelType w:val="hybridMultilevel"/>
    <w:tmpl w:val="E7BA63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5771988"/>
    <w:multiLevelType w:val="hybridMultilevel"/>
    <w:tmpl w:val="639A6F80"/>
    <w:lvl w:ilvl="0" w:tplc="ED6CD552">
      <w:start w:val="1"/>
      <w:numFmt w:val="decimal"/>
      <w:lvlText w:val="%1."/>
      <w:lvlJc w:val="left"/>
      <w:pPr>
        <w:ind w:left="1020" w:hanging="360"/>
      </w:pPr>
    </w:lvl>
    <w:lvl w:ilvl="1" w:tplc="4C3C2D38">
      <w:start w:val="1"/>
      <w:numFmt w:val="decimal"/>
      <w:lvlText w:val="%2."/>
      <w:lvlJc w:val="left"/>
      <w:pPr>
        <w:ind w:left="1020" w:hanging="360"/>
      </w:pPr>
    </w:lvl>
    <w:lvl w:ilvl="2" w:tplc="46E66FC4">
      <w:start w:val="1"/>
      <w:numFmt w:val="decimal"/>
      <w:lvlText w:val="%3."/>
      <w:lvlJc w:val="left"/>
      <w:pPr>
        <w:ind w:left="1020" w:hanging="360"/>
      </w:pPr>
    </w:lvl>
    <w:lvl w:ilvl="3" w:tplc="3FAAC918">
      <w:start w:val="1"/>
      <w:numFmt w:val="decimal"/>
      <w:lvlText w:val="%4."/>
      <w:lvlJc w:val="left"/>
      <w:pPr>
        <w:ind w:left="1020" w:hanging="360"/>
      </w:pPr>
    </w:lvl>
    <w:lvl w:ilvl="4" w:tplc="4BBCE8CC">
      <w:start w:val="1"/>
      <w:numFmt w:val="decimal"/>
      <w:lvlText w:val="%5."/>
      <w:lvlJc w:val="left"/>
      <w:pPr>
        <w:ind w:left="1020" w:hanging="360"/>
      </w:pPr>
    </w:lvl>
    <w:lvl w:ilvl="5" w:tplc="92F8D786">
      <w:start w:val="1"/>
      <w:numFmt w:val="decimal"/>
      <w:lvlText w:val="%6."/>
      <w:lvlJc w:val="left"/>
      <w:pPr>
        <w:ind w:left="1020" w:hanging="360"/>
      </w:pPr>
    </w:lvl>
    <w:lvl w:ilvl="6" w:tplc="AC5EFDAC">
      <w:start w:val="1"/>
      <w:numFmt w:val="decimal"/>
      <w:lvlText w:val="%7."/>
      <w:lvlJc w:val="left"/>
      <w:pPr>
        <w:ind w:left="1020" w:hanging="360"/>
      </w:pPr>
    </w:lvl>
    <w:lvl w:ilvl="7" w:tplc="78C0DC72">
      <w:start w:val="1"/>
      <w:numFmt w:val="decimal"/>
      <w:lvlText w:val="%8."/>
      <w:lvlJc w:val="left"/>
      <w:pPr>
        <w:ind w:left="1020" w:hanging="360"/>
      </w:pPr>
    </w:lvl>
    <w:lvl w:ilvl="8" w:tplc="86A62E98">
      <w:start w:val="1"/>
      <w:numFmt w:val="decimal"/>
      <w:lvlText w:val="%9."/>
      <w:lvlJc w:val="left"/>
      <w:pPr>
        <w:ind w:left="1020" w:hanging="360"/>
      </w:pPr>
    </w:lvl>
  </w:abstractNum>
  <w:abstractNum w:abstractNumId="13">
    <w:nsid w:val="1F64643D"/>
    <w:multiLevelType w:val="hybridMultilevel"/>
    <w:tmpl w:val="BD9A387E"/>
    <w:lvl w:ilvl="0" w:tplc="312A7D3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A6819"/>
    <w:multiLevelType w:val="hybridMultilevel"/>
    <w:tmpl w:val="6338AFF6"/>
    <w:lvl w:ilvl="0" w:tplc="7A6275EC">
      <w:start w:val="16"/>
      <w:numFmt w:val="bullet"/>
      <w:lvlText w:val="-"/>
      <w:lvlJc w:val="left"/>
      <w:pPr>
        <w:ind w:left="1080" w:hanging="360"/>
      </w:pPr>
      <w:rPr>
        <w:rFonts w:ascii="Century Schoolbook" w:eastAsia="Times New Roman" w:hAnsi="Century Schoolbook"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EC536F"/>
    <w:multiLevelType w:val="hybridMultilevel"/>
    <w:tmpl w:val="07382A0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7E110CB"/>
    <w:multiLevelType w:val="multilevel"/>
    <w:tmpl w:val="E3A25936"/>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27EF3118"/>
    <w:multiLevelType w:val="hybridMultilevel"/>
    <w:tmpl w:val="3774E172"/>
    <w:lvl w:ilvl="0" w:tplc="04090001">
      <w:start w:val="1"/>
      <w:numFmt w:val="bullet"/>
      <w:lvlText w:val=""/>
      <w:lvlJc w:val="left"/>
      <w:pPr>
        <w:tabs>
          <w:tab w:val="num" w:pos="1755"/>
        </w:tabs>
        <w:ind w:left="1755" w:hanging="360"/>
      </w:pPr>
      <w:rPr>
        <w:rFonts w:ascii="Symbol" w:hAnsi="Symbol" w:hint="default"/>
      </w:rPr>
    </w:lvl>
    <w:lvl w:ilvl="1" w:tplc="04090003" w:tentative="1">
      <w:start w:val="1"/>
      <w:numFmt w:val="bullet"/>
      <w:lvlText w:val="o"/>
      <w:lvlJc w:val="left"/>
      <w:pPr>
        <w:tabs>
          <w:tab w:val="num" w:pos="2475"/>
        </w:tabs>
        <w:ind w:left="2475" w:hanging="360"/>
      </w:pPr>
      <w:rPr>
        <w:rFonts w:ascii="Courier New" w:hAnsi="Courier New" w:cs="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cs="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cs="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18">
    <w:nsid w:val="2CD47DC4"/>
    <w:multiLevelType w:val="hybridMultilevel"/>
    <w:tmpl w:val="601CA91C"/>
    <w:lvl w:ilvl="0" w:tplc="A350AE2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8A7A7D"/>
    <w:multiLevelType w:val="multilevel"/>
    <w:tmpl w:val="BF500B1E"/>
    <w:name w:val="Heading"/>
    <w:lvl w:ilvl="0">
      <w:start w:val="1"/>
      <w:numFmt w:val="upperRoman"/>
      <w:lvlRestart w:val="0"/>
      <w:suff w:val="nothing"/>
      <w:lvlText w:val="%1."/>
      <w:lvlJc w:val="left"/>
      <w:pPr>
        <w:ind w:left="5040" w:firstLine="0"/>
      </w:pPr>
      <w:rPr>
        <w:rFonts w:ascii="Century Schoolbook" w:eastAsia="Times New Roman" w:hAnsi="Century Schoolbook" w:cs="Times New Roman"/>
        <w:b/>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6480" w:hanging="720"/>
      </w:pPr>
      <w:rPr>
        <w:rFonts w:ascii="Times New Roman Bold" w:hAnsi="Times New Roman Bold" w:hint="default"/>
        <w:b/>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7200" w:hanging="720"/>
      </w:pPr>
      <w:rPr>
        <w:rFonts w:ascii="Times New Roman Bold" w:hAnsi="Times New Roman Bold" w:hint="default"/>
        <w:b/>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7920" w:hanging="720"/>
      </w:pPr>
      <w:rPr>
        <w:rFonts w:ascii="Times New Roman Bold" w:hAnsi="Times New Roman Bold" w:hint="default"/>
        <w:b/>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8640" w:hanging="720"/>
      </w:pPr>
      <w:rPr>
        <w:rFonts w:ascii="Times New Roman Bold" w:hAnsi="Times New Roman Bold" w:hint="default"/>
        <w:b/>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ind w:left="5040" w:firstLine="1440"/>
      </w:pPr>
      <w:rPr>
        <w:rFonts w:ascii="Times New Roman" w:hAnsi="Times New Roman" w:hint="default"/>
        <w:b w:val="0"/>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0"/>
      <w:pStyle w:val="Heading7"/>
      <w:lvlText w:val="%7."/>
      <w:lvlJc w:val="left"/>
      <w:pPr>
        <w:ind w:left="5040" w:firstLine="1440"/>
      </w:pPr>
      <w:rPr>
        <w:rFonts w:ascii="Times New Roman" w:hAnsi="Times New Roman" w:hint="default"/>
        <w:b w:val="0"/>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ind w:left="7920" w:hanging="720"/>
      </w:pPr>
      <w:rPr>
        <w:rFonts w:ascii="Times New Roman" w:hAnsi="Times New Roman" w:hint="default"/>
        <w:b w:val="0"/>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ind w:left="8640" w:hanging="720"/>
      </w:pPr>
      <w:rPr>
        <w:rFonts w:ascii="Times New Roman" w:hAnsi="Times New Roman" w:hint="default"/>
        <w:b w:val="0"/>
        <w:i w:val="0"/>
        <w:caps w:val="0"/>
        <w:smallCaps w:val="0"/>
        <w:strike w:val="0"/>
        <w:dstrike w:val="0"/>
        <w:vanish w:val="0"/>
        <w:color w:val="auto"/>
        <w:spacing w:val="0"/>
        <w:w w:val="100"/>
        <w:kern w:val="0"/>
        <w:position w:val="0"/>
        <w:sz w:val="2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5FF3994"/>
    <w:multiLevelType w:val="hybridMultilevel"/>
    <w:tmpl w:val="808873E2"/>
    <w:lvl w:ilvl="0" w:tplc="38466498">
      <w:start w:val="3"/>
      <w:numFmt w:val="bullet"/>
      <w:lvlText w:val="-"/>
      <w:lvlJc w:val="left"/>
      <w:pPr>
        <w:ind w:left="1080" w:hanging="360"/>
      </w:pPr>
      <w:rPr>
        <w:rFonts w:ascii="Century Schoolbook" w:eastAsia="Times New Roman" w:hAnsi="Century School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8C447A"/>
    <w:multiLevelType w:val="hybridMultilevel"/>
    <w:tmpl w:val="63D6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64B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BF15775"/>
    <w:multiLevelType w:val="hybridMultilevel"/>
    <w:tmpl w:val="A4840368"/>
    <w:lvl w:ilvl="0" w:tplc="6AD253EE">
      <w:start w:val="1"/>
      <w:numFmt w:val="upperRoman"/>
      <w:pStyle w:val="9thCirHeading2"/>
      <w:lvlText w:val="%1."/>
      <w:lvlJc w:val="left"/>
      <w:pPr>
        <w:ind w:left="1080" w:hanging="720"/>
      </w:pPr>
      <w:rPr>
        <w:rFonts w:hint="default"/>
      </w:rPr>
    </w:lvl>
    <w:lvl w:ilvl="1" w:tplc="ECF2BC66">
      <w:start w:val="1"/>
      <w:numFmt w:val="upperLetter"/>
      <w:lvlText w:val="%2."/>
      <w:lvlJc w:val="left"/>
      <w:pPr>
        <w:ind w:left="1800" w:hanging="720"/>
      </w:pPr>
      <w:rPr>
        <w:rFonts w:hint="default"/>
      </w:rPr>
    </w:lvl>
    <w:lvl w:ilvl="2" w:tplc="D4A2C204">
      <w:start w:val="1"/>
      <w:numFmt w:val="lowerRoman"/>
      <w:lvlText w:val="%3."/>
      <w:lvlJc w:val="right"/>
      <w:pPr>
        <w:ind w:left="216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E6143"/>
    <w:multiLevelType w:val="hybridMultilevel"/>
    <w:tmpl w:val="793A49C0"/>
    <w:lvl w:ilvl="0" w:tplc="3C5E68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237187"/>
    <w:multiLevelType w:val="hybridMultilevel"/>
    <w:tmpl w:val="3944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F11781"/>
    <w:multiLevelType w:val="hybridMultilevel"/>
    <w:tmpl w:val="B66E14F2"/>
    <w:lvl w:ilvl="0" w:tplc="CDC242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4FB925F8"/>
    <w:multiLevelType w:val="hybridMultilevel"/>
    <w:tmpl w:val="9508FD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1C9454E"/>
    <w:multiLevelType w:val="multilevel"/>
    <w:tmpl w:val="A0BE356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52EA1768"/>
    <w:multiLevelType w:val="hybridMultilevel"/>
    <w:tmpl w:val="C8948CDE"/>
    <w:lvl w:ilvl="0" w:tplc="07AE22B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DF2C4A"/>
    <w:multiLevelType w:val="hybridMultilevel"/>
    <w:tmpl w:val="895C1D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25180E"/>
    <w:multiLevelType w:val="hybridMultilevel"/>
    <w:tmpl w:val="9830CD2E"/>
    <w:lvl w:ilvl="0" w:tplc="EA569A0E">
      <w:start w:val="1"/>
      <w:numFmt w:val="upperRoman"/>
      <w:pStyle w:val="Heading1"/>
      <w:lvlText w:val="%1."/>
      <w:lvlJc w:val="left"/>
      <w:pPr>
        <w:ind w:left="1080" w:hanging="720"/>
      </w:pPr>
      <w:rPr>
        <w:rFonts w:hint="default"/>
      </w:rPr>
    </w:lvl>
    <w:lvl w:ilvl="1" w:tplc="F112FCA4">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375ADC"/>
    <w:multiLevelType w:val="hybridMultilevel"/>
    <w:tmpl w:val="5A92F3CA"/>
    <w:lvl w:ilvl="0" w:tplc="9656DA1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F422B74"/>
    <w:multiLevelType w:val="hybridMultilevel"/>
    <w:tmpl w:val="65A030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2A76C85"/>
    <w:multiLevelType w:val="hybridMultilevel"/>
    <w:tmpl w:val="E8F6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310533"/>
    <w:multiLevelType w:val="hybridMultilevel"/>
    <w:tmpl w:val="3B1AC9F4"/>
    <w:lvl w:ilvl="0" w:tplc="A1AA6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030EFD"/>
    <w:multiLevelType w:val="hybridMultilevel"/>
    <w:tmpl w:val="405A46AC"/>
    <w:lvl w:ilvl="0" w:tplc="CDC24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0E4396"/>
    <w:multiLevelType w:val="hybridMultilevel"/>
    <w:tmpl w:val="824060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1846292">
      <w:start w:val="16"/>
      <w:numFmt w:val="bullet"/>
      <w:lvlText w:val="-"/>
      <w:lvlJc w:val="left"/>
      <w:pPr>
        <w:ind w:left="2880" w:hanging="360"/>
      </w:pPr>
      <w:rPr>
        <w:rFonts w:ascii="Century Schoolbook" w:eastAsia="Times New Roman" w:hAnsi="Century Schoolbook"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9B3972"/>
    <w:multiLevelType w:val="hybridMultilevel"/>
    <w:tmpl w:val="438EFE70"/>
    <w:lvl w:ilvl="0" w:tplc="CDC24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13729B2"/>
    <w:multiLevelType w:val="hybridMultilevel"/>
    <w:tmpl w:val="AC06E5E4"/>
    <w:lvl w:ilvl="0" w:tplc="2614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F125D0"/>
    <w:multiLevelType w:val="hybridMultilevel"/>
    <w:tmpl w:val="D12E523A"/>
    <w:lvl w:ilvl="0" w:tplc="002852C4">
      <w:start w:val="1"/>
      <w:numFmt w:val="decimal"/>
      <w:lvlText w:val="%1."/>
      <w:lvlJc w:val="left"/>
      <w:pPr>
        <w:tabs>
          <w:tab w:val="num" w:pos="1440"/>
        </w:tabs>
        <w:ind w:left="0" w:firstLine="720"/>
      </w:pPr>
      <w:rPr>
        <w:rFonts w:hint="default"/>
      </w:rPr>
    </w:lvl>
    <w:lvl w:ilvl="1" w:tplc="FE5460A0">
      <w:start w:val="1"/>
      <w:numFmt w:val="lowerLetter"/>
      <w:lvlText w:val="%2."/>
      <w:lvlJc w:val="left"/>
      <w:pPr>
        <w:tabs>
          <w:tab w:val="num" w:pos="2160"/>
        </w:tabs>
        <w:ind w:left="0" w:firstLine="144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2"/>
  </w:num>
  <w:num w:numId="13">
    <w:abstractNumId w:val="40"/>
  </w:num>
  <w:num w:numId="14">
    <w:abstractNumId w:val="28"/>
  </w:num>
  <w:num w:numId="15">
    <w:abstractNumId w:val="16"/>
  </w:num>
  <w:num w:numId="16">
    <w:abstractNumId w:val="33"/>
  </w:num>
  <w:num w:numId="17">
    <w:abstractNumId w:val="17"/>
  </w:num>
  <w:num w:numId="18">
    <w:abstractNumId w:val="11"/>
  </w:num>
  <w:num w:numId="19">
    <w:abstractNumId w:val="38"/>
  </w:num>
  <w:num w:numId="20">
    <w:abstractNumId w:val="26"/>
  </w:num>
  <w:num w:numId="21">
    <w:abstractNumId w:val="36"/>
  </w:num>
  <w:num w:numId="22">
    <w:abstractNumId w:val="29"/>
  </w:num>
  <w:num w:numId="23">
    <w:abstractNumId w:val="27"/>
  </w:num>
  <w:num w:numId="24">
    <w:abstractNumId w:val="30"/>
  </w:num>
  <w:num w:numId="25">
    <w:abstractNumId w:val="19"/>
  </w:num>
  <w:num w:numId="26">
    <w:abstractNumId w:val="21"/>
  </w:num>
  <w:num w:numId="27">
    <w:abstractNumId w:val="10"/>
  </w:num>
  <w:num w:numId="28">
    <w:abstractNumId w:val="34"/>
  </w:num>
  <w:num w:numId="29">
    <w:abstractNumId w:val="39"/>
  </w:num>
  <w:num w:numId="30">
    <w:abstractNumId w:val="35"/>
  </w:num>
  <w:num w:numId="31">
    <w:abstractNumId w:val="22"/>
  </w:num>
  <w:num w:numId="32">
    <w:abstractNumId w:val="25"/>
  </w:num>
  <w:num w:numId="33">
    <w:abstractNumId w:val="23"/>
  </w:num>
  <w:num w:numId="34">
    <w:abstractNumId w:val="24"/>
  </w:num>
  <w:num w:numId="35">
    <w:abstractNumId w:val="18"/>
  </w:num>
  <w:num w:numId="36">
    <w:abstractNumId w:val="13"/>
  </w:num>
  <w:num w:numId="37">
    <w:abstractNumId w:val="31"/>
  </w:num>
  <w:num w:numId="38">
    <w:abstractNumId w:val="37"/>
  </w:num>
  <w:num w:numId="39">
    <w:abstractNumId w:val="14"/>
  </w:num>
  <w:num w:numId="40">
    <w:abstractNumId w:val="2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21105652-9d63-46fe-97cf-22eff2cee8a0"/>
  </w:docVars>
  <w:rsids>
    <w:rsidRoot w:val="00F842D2"/>
    <w:rsid w:val="00002ECD"/>
    <w:rsid w:val="00004B7F"/>
    <w:rsid w:val="00011786"/>
    <w:rsid w:val="00014123"/>
    <w:rsid w:val="000236B7"/>
    <w:rsid w:val="000239D8"/>
    <w:rsid w:val="00045DC4"/>
    <w:rsid w:val="00047EDB"/>
    <w:rsid w:val="00050773"/>
    <w:rsid w:val="00051271"/>
    <w:rsid w:val="000607ED"/>
    <w:rsid w:val="000630E1"/>
    <w:rsid w:val="00070BE0"/>
    <w:rsid w:val="00072113"/>
    <w:rsid w:val="000736AE"/>
    <w:rsid w:val="00073D8B"/>
    <w:rsid w:val="00073E36"/>
    <w:rsid w:val="00074EFF"/>
    <w:rsid w:val="00075C07"/>
    <w:rsid w:val="00077AD5"/>
    <w:rsid w:val="00081C7B"/>
    <w:rsid w:val="000956D0"/>
    <w:rsid w:val="000A2491"/>
    <w:rsid w:val="000A40C0"/>
    <w:rsid w:val="000A7F45"/>
    <w:rsid w:val="000B0F29"/>
    <w:rsid w:val="000B458B"/>
    <w:rsid w:val="000C2347"/>
    <w:rsid w:val="000C626F"/>
    <w:rsid w:val="000C68D6"/>
    <w:rsid w:val="000D305B"/>
    <w:rsid w:val="000D6E73"/>
    <w:rsid w:val="000E7970"/>
    <w:rsid w:val="000E7A10"/>
    <w:rsid w:val="000F2545"/>
    <w:rsid w:val="000F42DA"/>
    <w:rsid w:val="00102341"/>
    <w:rsid w:val="001065CC"/>
    <w:rsid w:val="00114624"/>
    <w:rsid w:val="001203E3"/>
    <w:rsid w:val="001339B1"/>
    <w:rsid w:val="00134752"/>
    <w:rsid w:val="00146072"/>
    <w:rsid w:val="001461F2"/>
    <w:rsid w:val="0015141B"/>
    <w:rsid w:val="001547FA"/>
    <w:rsid w:val="0015777A"/>
    <w:rsid w:val="00160383"/>
    <w:rsid w:val="001616C5"/>
    <w:rsid w:val="00166DB6"/>
    <w:rsid w:val="00180D57"/>
    <w:rsid w:val="00183CE2"/>
    <w:rsid w:val="001900FD"/>
    <w:rsid w:val="001906CF"/>
    <w:rsid w:val="0019186C"/>
    <w:rsid w:val="00195BAD"/>
    <w:rsid w:val="001A043C"/>
    <w:rsid w:val="001A6574"/>
    <w:rsid w:val="001B6517"/>
    <w:rsid w:val="001D2866"/>
    <w:rsid w:val="001E413E"/>
    <w:rsid w:val="001E7278"/>
    <w:rsid w:val="001F0466"/>
    <w:rsid w:val="001F2525"/>
    <w:rsid w:val="001F366A"/>
    <w:rsid w:val="002042BF"/>
    <w:rsid w:val="00205B50"/>
    <w:rsid w:val="002118B0"/>
    <w:rsid w:val="00213951"/>
    <w:rsid w:val="00217C08"/>
    <w:rsid w:val="00220222"/>
    <w:rsid w:val="00226D59"/>
    <w:rsid w:val="00233CED"/>
    <w:rsid w:val="002418E7"/>
    <w:rsid w:val="00241A64"/>
    <w:rsid w:val="00243608"/>
    <w:rsid w:val="00250435"/>
    <w:rsid w:val="00256472"/>
    <w:rsid w:val="00256A3E"/>
    <w:rsid w:val="00256F75"/>
    <w:rsid w:val="00257200"/>
    <w:rsid w:val="00263564"/>
    <w:rsid w:val="002703C8"/>
    <w:rsid w:val="00270D65"/>
    <w:rsid w:val="00284D9C"/>
    <w:rsid w:val="00285BC7"/>
    <w:rsid w:val="00285D3A"/>
    <w:rsid w:val="0028749A"/>
    <w:rsid w:val="00295C57"/>
    <w:rsid w:val="002A0B66"/>
    <w:rsid w:val="002A2178"/>
    <w:rsid w:val="002A60A2"/>
    <w:rsid w:val="002B3D9F"/>
    <w:rsid w:val="002C1412"/>
    <w:rsid w:val="002C4F6D"/>
    <w:rsid w:val="002C6E59"/>
    <w:rsid w:val="002D3178"/>
    <w:rsid w:val="002E4F22"/>
    <w:rsid w:val="002E6FB3"/>
    <w:rsid w:val="002F0408"/>
    <w:rsid w:val="002F24D3"/>
    <w:rsid w:val="002F342E"/>
    <w:rsid w:val="002F3748"/>
    <w:rsid w:val="002F3C0F"/>
    <w:rsid w:val="002F407B"/>
    <w:rsid w:val="002F7732"/>
    <w:rsid w:val="0030127A"/>
    <w:rsid w:val="00302024"/>
    <w:rsid w:val="00304156"/>
    <w:rsid w:val="003043A1"/>
    <w:rsid w:val="00311171"/>
    <w:rsid w:val="00313F6F"/>
    <w:rsid w:val="00314B97"/>
    <w:rsid w:val="00317B26"/>
    <w:rsid w:val="0032039D"/>
    <w:rsid w:val="003240A2"/>
    <w:rsid w:val="00327A81"/>
    <w:rsid w:val="00353297"/>
    <w:rsid w:val="00356027"/>
    <w:rsid w:val="0035754E"/>
    <w:rsid w:val="003578CC"/>
    <w:rsid w:val="00360A69"/>
    <w:rsid w:val="00364CFA"/>
    <w:rsid w:val="0036636C"/>
    <w:rsid w:val="003731E0"/>
    <w:rsid w:val="003748E9"/>
    <w:rsid w:val="00375092"/>
    <w:rsid w:val="00380F8D"/>
    <w:rsid w:val="00394985"/>
    <w:rsid w:val="003A1CA7"/>
    <w:rsid w:val="003A38EE"/>
    <w:rsid w:val="003A50A8"/>
    <w:rsid w:val="003B10BC"/>
    <w:rsid w:val="003B1BC6"/>
    <w:rsid w:val="003B1DE4"/>
    <w:rsid w:val="003B32B7"/>
    <w:rsid w:val="003B78C1"/>
    <w:rsid w:val="003C1B0D"/>
    <w:rsid w:val="003C363F"/>
    <w:rsid w:val="003D40C4"/>
    <w:rsid w:val="003E6CB8"/>
    <w:rsid w:val="003E7305"/>
    <w:rsid w:val="003F0715"/>
    <w:rsid w:val="003F47C8"/>
    <w:rsid w:val="003F5D24"/>
    <w:rsid w:val="003F764B"/>
    <w:rsid w:val="00400421"/>
    <w:rsid w:val="004004D3"/>
    <w:rsid w:val="0040097A"/>
    <w:rsid w:val="00404992"/>
    <w:rsid w:val="00413103"/>
    <w:rsid w:val="00413C0B"/>
    <w:rsid w:val="00417720"/>
    <w:rsid w:val="00421966"/>
    <w:rsid w:val="00422332"/>
    <w:rsid w:val="00422369"/>
    <w:rsid w:val="00423AA5"/>
    <w:rsid w:val="00424AB2"/>
    <w:rsid w:val="004259BE"/>
    <w:rsid w:val="004465C2"/>
    <w:rsid w:val="00447F4F"/>
    <w:rsid w:val="004638A9"/>
    <w:rsid w:val="00463F50"/>
    <w:rsid w:val="00464925"/>
    <w:rsid w:val="0047542D"/>
    <w:rsid w:val="004757C7"/>
    <w:rsid w:val="004768A7"/>
    <w:rsid w:val="00481EDE"/>
    <w:rsid w:val="004864D5"/>
    <w:rsid w:val="0049249A"/>
    <w:rsid w:val="004D28E2"/>
    <w:rsid w:val="004E174A"/>
    <w:rsid w:val="004E6287"/>
    <w:rsid w:val="004F165D"/>
    <w:rsid w:val="004F20B2"/>
    <w:rsid w:val="00503BE8"/>
    <w:rsid w:val="00510038"/>
    <w:rsid w:val="00511351"/>
    <w:rsid w:val="00511E40"/>
    <w:rsid w:val="0051344D"/>
    <w:rsid w:val="00515DC6"/>
    <w:rsid w:val="00522B75"/>
    <w:rsid w:val="00523983"/>
    <w:rsid w:val="00527B74"/>
    <w:rsid w:val="00531AA2"/>
    <w:rsid w:val="00533588"/>
    <w:rsid w:val="0054618F"/>
    <w:rsid w:val="0055676B"/>
    <w:rsid w:val="00557066"/>
    <w:rsid w:val="00565B13"/>
    <w:rsid w:val="0056751B"/>
    <w:rsid w:val="00567556"/>
    <w:rsid w:val="0056763A"/>
    <w:rsid w:val="0057303D"/>
    <w:rsid w:val="00581A4F"/>
    <w:rsid w:val="005856FD"/>
    <w:rsid w:val="00586718"/>
    <w:rsid w:val="005872E3"/>
    <w:rsid w:val="00592AC3"/>
    <w:rsid w:val="00593E97"/>
    <w:rsid w:val="00594F68"/>
    <w:rsid w:val="005956E6"/>
    <w:rsid w:val="00597F49"/>
    <w:rsid w:val="005A53CE"/>
    <w:rsid w:val="005A76AF"/>
    <w:rsid w:val="005A7BE7"/>
    <w:rsid w:val="005A7C3C"/>
    <w:rsid w:val="005A7D21"/>
    <w:rsid w:val="005B7DC6"/>
    <w:rsid w:val="005C4AC3"/>
    <w:rsid w:val="005D1C67"/>
    <w:rsid w:val="005D600A"/>
    <w:rsid w:val="005E17AB"/>
    <w:rsid w:val="005E6766"/>
    <w:rsid w:val="005F1EDE"/>
    <w:rsid w:val="005F1FBC"/>
    <w:rsid w:val="005F3681"/>
    <w:rsid w:val="005F3AAF"/>
    <w:rsid w:val="005F5307"/>
    <w:rsid w:val="005F595D"/>
    <w:rsid w:val="00603876"/>
    <w:rsid w:val="006039C2"/>
    <w:rsid w:val="00604FDD"/>
    <w:rsid w:val="00605050"/>
    <w:rsid w:val="00610064"/>
    <w:rsid w:val="0061235C"/>
    <w:rsid w:val="0062218B"/>
    <w:rsid w:val="006277DA"/>
    <w:rsid w:val="0063786A"/>
    <w:rsid w:val="00643B5E"/>
    <w:rsid w:val="0064453F"/>
    <w:rsid w:val="00650132"/>
    <w:rsid w:val="006524BC"/>
    <w:rsid w:val="00653298"/>
    <w:rsid w:val="006541A8"/>
    <w:rsid w:val="00654E01"/>
    <w:rsid w:val="00655D13"/>
    <w:rsid w:val="00657736"/>
    <w:rsid w:val="00657929"/>
    <w:rsid w:val="006622E1"/>
    <w:rsid w:val="0066366F"/>
    <w:rsid w:val="00666095"/>
    <w:rsid w:val="00667A74"/>
    <w:rsid w:val="00674C71"/>
    <w:rsid w:val="0068223E"/>
    <w:rsid w:val="006902C7"/>
    <w:rsid w:val="00690C19"/>
    <w:rsid w:val="006A01FB"/>
    <w:rsid w:val="006A7F01"/>
    <w:rsid w:val="006B0F42"/>
    <w:rsid w:val="006B2BC4"/>
    <w:rsid w:val="006C0BC3"/>
    <w:rsid w:val="006C35A3"/>
    <w:rsid w:val="006C42DB"/>
    <w:rsid w:val="006D4CFA"/>
    <w:rsid w:val="006D5CCE"/>
    <w:rsid w:val="006D6B60"/>
    <w:rsid w:val="006F1D6B"/>
    <w:rsid w:val="006F2960"/>
    <w:rsid w:val="006F42A7"/>
    <w:rsid w:val="006F6A5A"/>
    <w:rsid w:val="006F6F4D"/>
    <w:rsid w:val="007051FB"/>
    <w:rsid w:val="007077EA"/>
    <w:rsid w:val="00707EE1"/>
    <w:rsid w:val="00715B46"/>
    <w:rsid w:val="007245F4"/>
    <w:rsid w:val="0072484D"/>
    <w:rsid w:val="00726555"/>
    <w:rsid w:val="00726F9D"/>
    <w:rsid w:val="0073031C"/>
    <w:rsid w:val="007306BF"/>
    <w:rsid w:val="00732BB1"/>
    <w:rsid w:val="007336BE"/>
    <w:rsid w:val="007368E7"/>
    <w:rsid w:val="0074289F"/>
    <w:rsid w:val="00743137"/>
    <w:rsid w:val="00743A27"/>
    <w:rsid w:val="007448DF"/>
    <w:rsid w:val="007467EC"/>
    <w:rsid w:val="00757525"/>
    <w:rsid w:val="00772021"/>
    <w:rsid w:val="00775282"/>
    <w:rsid w:val="0077570E"/>
    <w:rsid w:val="00783790"/>
    <w:rsid w:val="00787F2C"/>
    <w:rsid w:val="00796AF7"/>
    <w:rsid w:val="007A42D6"/>
    <w:rsid w:val="007A5BDC"/>
    <w:rsid w:val="007A5E10"/>
    <w:rsid w:val="007B0ADD"/>
    <w:rsid w:val="007B50B4"/>
    <w:rsid w:val="007D656D"/>
    <w:rsid w:val="007D7C5E"/>
    <w:rsid w:val="007E22D0"/>
    <w:rsid w:val="007E3F23"/>
    <w:rsid w:val="007E49F6"/>
    <w:rsid w:val="00803535"/>
    <w:rsid w:val="008047BA"/>
    <w:rsid w:val="0080609F"/>
    <w:rsid w:val="00806593"/>
    <w:rsid w:val="00830CEE"/>
    <w:rsid w:val="00832AE1"/>
    <w:rsid w:val="00832D9A"/>
    <w:rsid w:val="008336D7"/>
    <w:rsid w:val="008338A3"/>
    <w:rsid w:val="00834314"/>
    <w:rsid w:val="00836394"/>
    <w:rsid w:val="0084143B"/>
    <w:rsid w:val="00842B3D"/>
    <w:rsid w:val="00852A77"/>
    <w:rsid w:val="008530C1"/>
    <w:rsid w:val="008651F6"/>
    <w:rsid w:val="008652AB"/>
    <w:rsid w:val="0087048D"/>
    <w:rsid w:val="00873A1F"/>
    <w:rsid w:val="00874A3B"/>
    <w:rsid w:val="008757EF"/>
    <w:rsid w:val="00881B4E"/>
    <w:rsid w:val="00882474"/>
    <w:rsid w:val="008909DA"/>
    <w:rsid w:val="00890ABD"/>
    <w:rsid w:val="00896AC8"/>
    <w:rsid w:val="008A1B14"/>
    <w:rsid w:val="008A44C3"/>
    <w:rsid w:val="008A4EDD"/>
    <w:rsid w:val="008B24DC"/>
    <w:rsid w:val="008B7546"/>
    <w:rsid w:val="008C18FB"/>
    <w:rsid w:val="008C3007"/>
    <w:rsid w:val="008C326A"/>
    <w:rsid w:val="008C4362"/>
    <w:rsid w:val="008C4FF2"/>
    <w:rsid w:val="008D0279"/>
    <w:rsid w:val="008D0B64"/>
    <w:rsid w:val="008D6851"/>
    <w:rsid w:val="008E1852"/>
    <w:rsid w:val="008E3A46"/>
    <w:rsid w:val="008E4724"/>
    <w:rsid w:val="008E69F1"/>
    <w:rsid w:val="008F3B93"/>
    <w:rsid w:val="00901C68"/>
    <w:rsid w:val="00904A2C"/>
    <w:rsid w:val="00905326"/>
    <w:rsid w:val="009076EC"/>
    <w:rsid w:val="00907A04"/>
    <w:rsid w:val="009207B2"/>
    <w:rsid w:val="00924978"/>
    <w:rsid w:val="00931A45"/>
    <w:rsid w:val="00951EDB"/>
    <w:rsid w:val="00952798"/>
    <w:rsid w:val="00953404"/>
    <w:rsid w:val="0096083F"/>
    <w:rsid w:val="00963F04"/>
    <w:rsid w:val="00964B73"/>
    <w:rsid w:val="00965854"/>
    <w:rsid w:val="00966377"/>
    <w:rsid w:val="009807A1"/>
    <w:rsid w:val="00981741"/>
    <w:rsid w:val="00981A6F"/>
    <w:rsid w:val="009841C8"/>
    <w:rsid w:val="00987C1E"/>
    <w:rsid w:val="00994BA9"/>
    <w:rsid w:val="009978C8"/>
    <w:rsid w:val="009A0A65"/>
    <w:rsid w:val="009A34E3"/>
    <w:rsid w:val="009A655F"/>
    <w:rsid w:val="009B1DE2"/>
    <w:rsid w:val="009B2FDC"/>
    <w:rsid w:val="009B4223"/>
    <w:rsid w:val="009B42C0"/>
    <w:rsid w:val="009B62CF"/>
    <w:rsid w:val="009C18AE"/>
    <w:rsid w:val="009C49ED"/>
    <w:rsid w:val="009E0DD1"/>
    <w:rsid w:val="009E0FC2"/>
    <w:rsid w:val="009E169B"/>
    <w:rsid w:val="009F7744"/>
    <w:rsid w:val="00A02A81"/>
    <w:rsid w:val="00A0334B"/>
    <w:rsid w:val="00A04550"/>
    <w:rsid w:val="00A16890"/>
    <w:rsid w:val="00A22D03"/>
    <w:rsid w:val="00A259DF"/>
    <w:rsid w:val="00A27112"/>
    <w:rsid w:val="00A27CF3"/>
    <w:rsid w:val="00A302F6"/>
    <w:rsid w:val="00A31467"/>
    <w:rsid w:val="00A45365"/>
    <w:rsid w:val="00A54E48"/>
    <w:rsid w:val="00A6386C"/>
    <w:rsid w:val="00A6440B"/>
    <w:rsid w:val="00A7039F"/>
    <w:rsid w:val="00A752DB"/>
    <w:rsid w:val="00A831D5"/>
    <w:rsid w:val="00A85A2A"/>
    <w:rsid w:val="00A86B9A"/>
    <w:rsid w:val="00A9514C"/>
    <w:rsid w:val="00A978D5"/>
    <w:rsid w:val="00AA4B6B"/>
    <w:rsid w:val="00AA6272"/>
    <w:rsid w:val="00AB36F5"/>
    <w:rsid w:val="00AB79CC"/>
    <w:rsid w:val="00AD0A85"/>
    <w:rsid w:val="00AD43F4"/>
    <w:rsid w:val="00AD611E"/>
    <w:rsid w:val="00AE1157"/>
    <w:rsid w:val="00AF0DAD"/>
    <w:rsid w:val="00AF3209"/>
    <w:rsid w:val="00AF338C"/>
    <w:rsid w:val="00AF6687"/>
    <w:rsid w:val="00AF6992"/>
    <w:rsid w:val="00AF7E99"/>
    <w:rsid w:val="00B05BF7"/>
    <w:rsid w:val="00B05D6F"/>
    <w:rsid w:val="00B07248"/>
    <w:rsid w:val="00B1343D"/>
    <w:rsid w:val="00B17011"/>
    <w:rsid w:val="00B219EE"/>
    <w:rsid w:val="00B23A67"/>
    <w:rsid w:val="00B30543"/>
    <w:rsid w:val="00B3782E"/>
    <w:rsid w:val="00B45F9C"/>
    <w:rsid w:val="00B52B1B"/>
    <w:rsid w:val="00B54278"/>
    <w:rsid w:val="00B61AFA"/>
    <w:rsid w:val="00B639BB"/>
    <w:rsid w:val="00B746E8"/>
    <w:rsid w:val="00B766A5"/>
    <w:rsid w:val="00B80E4D"/>
    <w:rsid w:val="00B83E7D"/>
    <w:rsid w:val="00B9162C"/>
    <w:rsid w:val="00B92DB4"/>
    <w:rsid w:val="00B94C62"/>
    <w:rsid w:val="00BA4A30"/>
    <w:rsid w:val="00BA73EE"/>
    <w:rsid w:val="00BB2E54"/>
    <w:rsid w:val="00BB35FF"/>
    <w:rsid w:val="00BB4157"/>
    <w:rsid w:val="00BC184E"/>
    <w:rsid w:val="00BD4908"/>
    <w:rsid w:val="00BD4EC5"/>
    <w:rsid w:val="00BD7C50"/>
    <w:rsid w:val="00BE101F"/>
    <w:rsid w:val="00BE4296"/>
    <w:rsid w:val="00C04204"/>
    <w:rsid w:val="00C058B7"/>
    <w:rsid w:val="00C0697B"/>
    <w:rsid w:val="00C1025A"/>
    <w:rsid w:val="00C116F7"/>
    <w:rsid w:val="00C14E10"/>
    <w:rsid w:val="00C20044"/>
    <w:rsid w:val="00C33B88"/>
    <w:rsid w:val="00C3477D"/>
    <w:rsid w:val="00C402F6"/>
    <w:rsid w:val="00C456D9"/>
    <w:rsid w:val="00C45925"/>
    <w:rsid w:val="00C51905"/>
    <w:rsid w:val="00C52F7F"/>
    <w:rsid w:val="00C54394"/>
    <w:rsid w:val="00C62E68"/>
    <w:rsid w:val="00C638C4"/>
    <w:rsid w:val="00C643C1"/>
    <w:rsid w:val="00C65395"/>
    <w:rsid w:val="00C65DD5"/>
    <w:rsid w:val="00C70821"/>
    <w:rsid w:val="00C7111C"/>
    <w:rsid w:val="00C73784"/>
    <w:rsid w:val="00C76E5D"/>
    <w:rsid w:val="00C85802"/>
    <w:rsid w:val="00C86A08"/>
    <w:rsid w:val="00C90A3C"/>
    <w:rsid w:val="00C917F0"/>
    <w:rsid w:val="00CB0DDC"/>
    <w:rsid w:val="00CB3522"/>
    <w:rsid w:val="00CC247D"/>
    <w:rsid w:val="00CC71FA"/>
    <w:rsid w:val="00CD0744"/>
    <w:rsid w:val="00CD3BDF"/>
    <w:rsid w:val="00CD724E"/>
    <w:rsid w:val="00CE2FEF"/>
    <w:rsid w:val="00CE3096"/>
    <w:rsid w:val="00CE62B5"/>
    <w:rsid w:val="00CE7251"/>
    <w:rsid w:val="00CF0494"/>
    <w:rsid w:val="00CF5F38"/>
    <w:rsid w:val="00CF7A89"/>
    <w:rsid w:val="00D00459"/>
    <w:rsid w:val="00D011B7"/>
    <w:rsid w:val="00D017E8"/>
    <w:rsid w:val="00D04C65"/>
    <w:rsid w:val="00D060B3"/>
    <w:rsid w:val="00D11B8D"/>
    <w:rsid w:val="00D12374"/>
    <w:rsid w:val="00D24C5F"/>
    <w:rsid w:val="00D26679"/>
    <w:rsid w:val="00D273FD"/>
    <w:rsid w:val="00D27F8E"/>
    <w:rsid w:val="00D30BA3"/>
    <w:rsid w:val="00D30BEC"/>
    <w:rsid w:val="00D320D9"/>
    <w:rsid w:val="00D32653"/>
    <w:rsid w:val="00D373BA"/>
    <w:rsid w:val="00D42924"/>
    <w:rsid w:val="00D54A22"/>
    <w:rsid w:val="00D568AC"/>
    <w:rsid w:val="00D57B47"/>
    <w:rsid w:val="00D6018C"/>
    <w:rsid w:val="00D6128A"/>
    <w:rsid w:val="00D61723"/>
    <w:rsid w:val="00D633B7"/>
    <w:rsid w:val="00D64EB0"/>
    <w:rsid w:val="00D651CA"/>
    <w:rsid w:val="00D76189"/>
    <w:rsid w:val="00D93BB0"/>
    <w:rsid w:val="00D94773"/>
    <w:rsid w:val="00D974B7"/>
    <w:rsid w:val="00DA4384"/>
    <w:rsid w:val="00DC05BE"/>
    <w:rsid w:val="00DD3956"/>
    <w:rsid w:val="00DE1965"/>
    <w:rsid w:val="00DE3EED"/>
    <w:rsid w:val="00DE42CC"/>
    <w:rsid w:val="00DE4699"/>
    <w:rsid w:val="00DE7B3F"/>
    <w:rsid w:val="00E13286"/>
    <w:rsid w:val="00E15FE5"/>
    <w:rsid w:val="00E24ADA"/>
    <w:rsid w:val="00E26B27"/>
    <w:rsid w:val="00E27BC3"/>
    <w:rsid w:val="00E31490"/>
    <w:rsid w:val="00E34BDC"/>
    <w:rsid w:val="00E34F58"/>
    <w:rsid w:val="00E42625"/>
    <w:rsid w:val="00E4325D"/>
    <w:rsid w:val="00E52D4E"/>
    <w:rsid w:val="00E54CF1"/>
    <w:rsid w:val="00E63070"/>
    <w:rsid w:val="00E63A2B"/>
    <w:rsid w:val="00E7708F"/>
    <w:rsid w:val="00E850BC"/>
    <w:rsid w:val="00E92F95"/>
    <w:rsid w:val="00E93A23"/>
    <w:rsid w:val="00E960E5"/>
    <w:rsid w:val="00E9769C"/>
    <w:rsid w:val="00EA198D"/>
    <w:rsid w:val="00EA26AB"/>
    <w:rsid w:val="00EA3C3E"/>
    <w:rsid w:val="00EA5731"/>
    <w:rsid w:val="00EA5859"/>
    <w:rsid w:val="00EB425E"/>
    <w:rsid w:val="00ED7938"/>
    <w:rsid w:val="00EE2198"/>
    <w:rsid w:val="00EE2510"/>
    <w:rsid w:val="00EF2243"/>
    <w:rsid w:val="00F00B8C"/>
    <w:rsid w:val="00F019EA"/>
    <w:rsid w:val="00F023D9"/>
    <w:rsid w:val="00F03540"/>
    <w:rsid w:val="00F04F35"/>
    <w:rsid w:val="00F06D4D"/>
    <w:rsid w:val="00F111B5"/>
    <w:rsid w:val="00F25F5B"/>
    <w:rsid w:val="00F33883"/>
    <w:rsid w:val="00F35305"/>
    <w:rsid w:val="00F42605"/>
    <w:rsid w:val="00F4317E"/>
    <w:rsid w:val="00F434C4"/>
    <w:rsid w:val="00F444DF"/>
    <w:rsid w:val="00F47BF4"/>
    <w:rsid w:val="00F56425"/>
    <w:rsid w:val="00F566FB"/>
    <w:rsid w:val="00F61198"/>
    <w:rsid w:val="00F63558"/>
    <w:rsid w:val="00F72B9D"/>
    <w:rsid w:val="00F81E16"/>
    <w:rsid w:val="00F834C9"/>
    <w:rsid w:val="00F842D2"/>
    <w:rsid w:val="00F85822"/>
    <w:rsid w:val="00F90FF0"/>
    <w:rsid w:val="00F931FF"/>
    <w:rsid w:val="00F9346E"/>
    <w:rsid w:val="00F95198"/>
    <w:rsid w:val="00FA08A5"/>
    <w:rsid w:val="00FA0AB8"/>
    <w:rsid w:val="00FB10E2"/>
    <w:rsid w:val="00FB1EF8"/>
    <w:rsid w:val="00FB4E56"/>
    <w:rsid w:val="00FB5F70"/>
    <w:rsid w:val="00FB60F0"/>
    <w:rsid w:val="00FB7D7B"/>
    <w:rsid w:val="00FC7B42"/>
    <w:rsid w:val="00FD1159"/>
    <w:rsid w:val="00FD2539"/>
    <w:rsid w:val="00FD3BE3"/>
    <w:rsid w:val="00FE12BE"/>
    <w:rsid w:val="00FE284A"/>
    <w:rsid w:val="00FE69E3"/>
    <w:rsid w:val="00FE7212"/>
    <w:rsid w:val="00FE7D61"/>
    <w:rsid w:val="00FF2ABC"/>
    <w:rsid w:val="00FF3782"/>
    <w:rsid w:val="00FF574D"/>
    <w:rsid w:val="00FF5D76"/>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4DD0"/>
  <w15:chartTrackingRefBased/>
  <w15:docId w15:val="{DA3247B2-75FC-40A1-B105-BEDF1C66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footnote reference"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F1FBC"/>
    <w:rPr>
      <w:sz w:val="28"/>
      <w:szCs w:val="24"/>
    </w:rPr>
  </w:style>
  <w:style w:type="paragraph" w:styleId="Heading1">
    <w:name w:val="heading 1"/>
    <w:basedOn w:val="Normal"/>
    <w:next w:val="Body"/>
    <w:link w:val="Heading1Char"/>
    <w:qFormat/>
    <w:rsid w:val="00073D8B"/>
    <w:pPr>
      <w:keepNext/>
      <w:keepLines/>
      <w:numPr>
        <w:numId w:val="37"/>
      </w:numPr>
      <w:spacing w:after="240"/>
      <w:ind w:left="720"/>
      <w:outlineLvl w:val="0"/>
    </w:pPr>
    <w:rPr>
      <w:rFonts w:ascii="Century Schoolbook" w:hAnsi="Century Schoolbook"/>
      <w:b/>
      <w:szCs w:val="28"/>
      <w:lang w:val="x-none" w:eastAsia="x-none"/>
    </w:rPr>
  </w:style>
  <w:style w:type="paragraph" w:styleId="Heading2">
    <w:name w:val="heading 2"/>
    <w:basedOn w:val="Heading1"/>
    <w:next w:val="Body"/>
    <w:link w:val="Heading2Char"/>
    <w:qFormat/>
    <w:rsid w:val="003A38EE"/>
    <w:pPr>
      <w:numPr>
        <w:ilvl w:val="1"/>
      </w:numPr>
      <w:ind w:hanging="720"/>
      <w:outlineLvl w:val="1"/>
    </w:pPr>
  </w:style>
  <w:style w:type="paragraph" w:styleId="Heading3">
    <w:name w:val="heading 3"/>
    <w:basedOn w:val="Normal"/>
    <w:next w:val="BodyText"/>
    <w:link w:val="Heading3Char"/>
    <w:qFormat/>
    <w:pPr>
      <w:keepNext/>
      <w:keepLines/>
      <w:numPr>
        <w:ilvl w:val="2"/>
        <w:numId w:val="25"/>
      </w:numPr>
      <w:spacing w:before="240" w:line="240" w:lineRule="exact"/>
      <w:outlineLvl w:val="2"/>
    </w:pPr>
    <w:rPr>
      <w:b/>
      <w:sz w:val="25"/>
      <w:szCs w:val="20"/>
      <w:lang w:val="x-none" w:eastAsia="x-none"/>
    </w:rPr>
  </w:style>
  <w:style w:type="paragraph" w:styleId="Heading4">
    <w:name w:val="heading 4"/>
    <w:basedOn w:val="Normal"/>
    <w:next w:val="BodyText"/>
    <w:link w:val="Heading4Char"/>
    <w:qFormat/>
    <w:pPr>
      <w:keepNext/>
      <w:keepLines/>
      <w:numPr>
        <w:ilvl w:val="3"/>
        <w:numId w:val="25"/>
      </w:numPr>
      <w:spacing w:before="240" w:line="240" w:lineRule="exact"/>
      <w:outlineLvl w:val="3"/>
    </w:pPr>
    <w:rPr>
      <w:b/>
      <w:sz w:val="25"/>
      <w:szCs w:val="20"/>
      <w:lang w:val="x-none" w:eastAsia="x-none"/>
    </w:rPr>
  </w:style>
  <w:style w:type="paragraph" w:styleId="Heading5">
    <w:name w:val="heading 5"/>
    <w:basedOn w:val="Normal"/>
    <w:next w:val="BodyText"/>
    <w:link w:val="Heading5Char"/>
    <w:qFormat/>
    <w:pPr>
      <w:keepNext/>
      <w:keepLines/>
      <w:numPr>
        <w:ilvl w:val="4"/>
        <w:numId w:val="25"/>
      </w:numPr>
      <w:spacing w:before="240" w:line="240" w:lineRule="exact"/>
      <w:outlineLvl w:val="4"/>
    </w:pPr>
    <w:rPr>
      <w:b/>
      <w:sz w:val="25"/>
      <w:szCs w:val="20"/>
      <w:lang w:val="x-none" w:eastAsia="x-none"/>
    </w:rPr>
  </w:style>
  <w:style w:type="paragraph" w:styleId="Heading6">
    <w:name w:val="heading 6"/>
    <w:basedOn w:val="Normal"/>
    <w:next w:val="BodyText"/>
    <w:link w:val="Heading6Char"/>
    <w:qFormat/>
    <w:pPr>
      <w:numPr>
        <w:ilvl w:val="5"/>
        <w:numId w:val="25"/>
      </w:numPr>
      <w:spacing w:line="480" w:lineRule="exact"/>
      <w:outlineLvl w:val="5"/>
    </w:pPr>
    <w:rPr>
      <w:sz w:val="25"/>
      <w:szCs w:val="20"/>
      <w:lang w:val="x-none" w:eastAsia="x-none"/>
    </w:rPr>
  </w:style>
  <w:style w:type="paragraph" w:styleId="Heading7">
    <w:name w:val="heading 7"/>
    <w:basedOn w:val="Normal"/>
    <w:link w:val="Heading7Char"/>
    <w:qFormat/>
    <w:pPr>
      <w:numPr>
        <w:ilvl w:val="6"/>
        <w:numId w:val="25"/>
      </w:numPr>
      <w:spacing w:line="480" w:lineRule="exact"/>
      <w:outlineLvl w:val="6"/>
    </w:pPr>
    <w:rPr>
      <w:sz w:val="25"/>
      <w:szCs w:val="20"/>
      <w:lang w:val="x-none" w:eastAsia="x-none"/>
    </w:rPr>
  </w:style>
  <w:style w:type="paragraph" w:styleId="Heading8">
    <w:name w:val="heading 8"/>
    <w:basedOn w:val="Normal"/>
    <w:next w:val="BodyText"/>
    <w:link w:val="Heading8Char"/>
    <w:qFormat/>
    <w:pPr>
      <w:numPr>
        <w:ilvl w:val="7"/>
        <w:numId w:val="25"/>
      </w:numPr>
      <w:spacing w:line="480" w:lineRule="exact"/>
      <w:outlineLvl w:val="7"/>
    </w:pPr>
    <w:rPr>
      <w:sz w:val="25"/>
      <w:szCs w:val="20"/>
      <w:lang w:val="x-none" w:eastAsia="x-none"/>
    </w:rPr>
  </w:style>
  <w:style w:type="paragraph" w:styleId="Heading9">
    <w:name w:val="heading 9"/>
    <w:basedOn w:val="Normal"/>
    <w:next w:val="BodyText"/>
    <w:link w:val="Heading9Char"/>
    <w:qFormat/>
    <w:pPr>
      <w:numPr>
        <w:ilvl w:val="8"/>
        <w:numId w:val="25"/>
      </w:numPr>
      <w:spacing w:line="480" w:lineRule="exact"/>
      <w:outlineLvl w:val="8"/>
    </w:pPr>
    <w:rPr>
      <w:sz w:val="25"/>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d">
    <w:name w:val="Single Spaced"/>
    <w:basedOn w:val="Normal"/>
    <w:pPr>
      <w:spacing w:line="240" w:lineRule="exact"/>
    </w:pPr>
    <w:rPr>
      <w:szCs w:val="20"/>
    </w:rPr>
  </w:style>
  <w:style w:type="paragraph" w:customStyle="1" w:styleId="SingleSpacing">
    <w:name w:val="Single Spacing"/>
    <w:basedOn w:val="Normal"/>
    <w:pPr>
      <w:spacing w:line="227" w:lineRule="exact"/>
    </w:pPr>
    <w:rPr>
      <w:szCs w:val="20"/>
    </w:rPr>
  </w:style>
  <w:style w:type="paragraph" w:customStyle="1" w:styleId="StyleLinespacingExactly235pt">
    <w:name w:val="Style Line spacing:  Exactly 23.5 pt"/>
    <w:basedOn w:val="Normal"/>
    <w:pPr>
      <w:spacing w:line="480" w:lineRule="exact"/>
    </w:pPr>
    <w:rPr>
      <w:szCs w:val="20"/>
    </w:rPr>
  </w:style>
  <w:style w:type="paragraph" w:customStyle="1" w:styleId="PleadingTitle">
    <w:name w:val="Pleading Title"/>
    <w:basedOn w:val="Normal"/>
    <w:pPr>
      <w:keepNext/>
      <w:keepLines/>
      <w:ind w:left="173"/>
    </w:pPr>
    <w:rPr>
      <w:b/>
      <w:bCs/>
      <w:caps/>
      <w:sz w:val="26"/>
    </w:rPr>
  </w:style>
  <w:style w:type="paragraph" w:customStyle="1" w:styleId="AttorneyName">
    <w:name w:val="Attorney Name"/>
    <w:basedOn w:val="SingleSpacing"/>
  </w:style>
  <w:style w:type="paragraph" w:customStyle="1" w:styleId="Indented1">
    <w:name w:val="Indented1"/>
    <w:basedOn w:val="StyleLinespacingExactly235pt"/>
    <w:pPr>
      <w:tabs>
        <w:tab w:val="left" w:pos="10440"/>
      </w:tabs>
      <w:spacing w:before="240" w:after="240" w:line="240" w:lineRule="exact"/>
      <w:ind w:left="1440" w:right="720" w:hanging="720"/>
    </w:pPr>
    <w:rPr>
      <w:b/>
      <w:szCs w:val="24"/>
    </w:rPr>
  </w:style>
  <w:style w:type="paragraph" w:customStyle="1" w:styleId="IndentedQuotation">
    <w:name w:val="Indented Quotation"/>
    <w:basedOn w:val="StyleLinespacingExactly235pt"/>
    <w:pPr>
      <w:spacing w:before="240" w:after="240" w:line="240" w:lineRule="exact"/>
      <w:ind w:left="1440" w:right="1440"/>
    </w:pPr>
    <w:rPr>
      <w:szCs w:val="24"/>
    </w:rPr>
  </w:style>
  <w:style w:type="paragraph" w:styleId="Header">
    <w:name w:val="header"/>
    <w:basedOn w:val="Normal"/>
    <w:link w:val="HeaderChar"/>
    <w:uiPriority w:val="99"/>
    <w:pPr>
      <w:tabs>
        <w:tab w:val="center" w:pos="4320"/>
        <w:tab w:val="right" w:pos="8640"/>
      </w:tabs>
      <w:spacing w:line="480" w:lineRule="exact"/>
    </w:pPr>
    <w:rPr>
      <w:szCs w:val="20"/>
    </w:rPr>
  </w:style>
  <w:style w:type="paragraph" w:styleId="Footer">
    <w:name w:val="footer"/>
    <w:basedOn w:val="Normal"/>
    <w:link w:val="FooterChar"/>
    <w:uiPriority w:val="99"/>
    <w:pPr>
      <w:tabs>
        <w:tab w:val="center" w:pos="4320"/>
        <w:tab w:val="right" w:pos="8640"/>
      </w:tabs>
      <w:spacing w:line="480" w:lineRule="exact"/>
    </w:pPr>
    <w:rPr>
      <w:szCs w:val="20"/>
    </w:rPr>
  </w:style>
  <w:style w:type="paragraph" w:customStyle="1" w:styleId="Signatureblockdate">
    <w:name w:val="Signature block date"/>
    <w:basedOn w:val="Normal"/>
    <w:pPr>
      <w:spacing w:line="245" w:lineRule="exact"/>
      <w:ind w:left="4680"/>
    </w:pPr>
    <w:rPr>
      <w:sz w:val="20"/>
      <w:szCs w:val="20"/>
    </w:rPr>
  </w:style>
  <w:style w:type="paragraph" w:customStyle="1" w:styleId="Signatureblockline">
    <w:name w:val="Signature block line"/>
    <w:basedOn w:val="Normal"/>
    <w:pPr>
      <w:tabs>
        <w:tab w:val="left" w:leader="underscore" w:pos="9360"/>
      </w:tabs>
      <w:spacing w:line="245" w:lineRule="exact"/>
      <w:ind w:left="6000"/>
    </w:pPr>
    <w:rPr>
      <w:sz w:val="20"/>
      <w:szCs w:val="20"/>
    </w:rPr>
  </w:style>
  <w:style w:type="paragraph" w:styleId="FootnoteText">
    <w:name w:val="footnote text"/>
    <w:aliases w:val="fn"/>
    <w:basedOn w:val="Normal"/>
    <w:semiHidden/>
    <w:pPr>
      <w:spacing w:line="240" w:lineRule="exact"/>
    </w:pPr>
    <w:rPr>
      <w:szCs w:val="20"/>
    </w:rPr>
  </w:style>
  <w:style w:type="character" w:styleId="FootnoteReference">
    <w:name w:val="footnote reference"/>
    <w:uiPriority w:val="99"/>
    <w:rPr>
      <w:vertAlign w:val="superscript"/>
    </w:rPr>
  </w:style>
  <w:style w:type="paragraph" w:customStyle="1" w:styleId="NormalDouble">
    <w:name w:val="Normal Double"/>
    <w:basedOn w:val="Normal"/>
    <w:pPr>
      <w:spacing w:line="480" w:lineRule="exact"/>
      <w:ind w:firstLine="720"/>
    </w:pPr>
    <w:rPr>
      <w:szCs w:val="20"/>
    </w:rPr>
  </w:style>
  <w:style w:type="character" w:styleId="Hyperlink">
    <w:name w:val="Hyperlink"/>
    <w:uiPriority w:val="99"/>
    <w:rPr>
      <w:color w:val="0000FF"/>
      <w:u w:val="single"/>
    </w:rPr>
  </w:style>
  <w:style w:type="paragraph" w:customStyle="1" w:styleId="BoldUnderlineCentered">
    <w:name w:val="Bold Underline Centered"/>
    <w:basedOn w:val="Normal"/>
    <w:pPr>
      <w:spacing w:line="480" w:lineRule="exact"/>
      <w:jc w:val="center"/>
    </w:pPr>
    <w:rPr>
      <w:b/>
      <w:bCs/>
      <w:szCs w:val="20"/>
      <w:u w:val="single"/>
    </w:rPr>
  </w:style>
  <w:style w:type="paragraph" w:customStyle="1" w:styleId="IndentedSingle">
    <w:name w:val="Indented Single"/>
    <w:basedOn w:val="NormalDouble"/>
    <w:next w:val="NormalDouble"/>
    <w:pPr>
      <w:spacing w:after="240" w:line="240" w:lineRule="exact"/>
      <w:ind w:left="1440" w:right="1440" w:firstLine="0"/>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073D8B"/>
    <w:rPr>
      <w:rFonts w:ascii="Century Schoolbook" w:hAnsi="Century Schoolbook"/>
      <w:b/>
      <w:sz w:val="28"/>
      <w:szCs w:val="28"/>
      <w:lang w:val="x-none" w:eastAsia="x-none"/>
    </w:rPr>
  </w:style>
  <w:style w:type="character" w:customStyle="1" w:styleId="Heading2Char">
    <w:name w:val="Heading 2 Char"/>
    <w:link w:val="Heading2"/>
    <w:rsid w:val="003A38EE"/>
    <w:rPr>
      <w:rFonts w:ascii="Century Schoolbook" w:hAnsi="Century Schoolbook"/>
      <w:b/>
      <w:sz w:val="28"/>
      <w:szCs w:val="28"/>
      <w:lang w:val="x-none" w:eastAsia="x-none"/>
    </w:rPr>
  </w:style>
  <w:style w:type="character" w:customStyle="1" w:styleId="Heading3Char">
    <w:name w:val="Heading 3 Char"/>
    <w:link w:val="Heading3"/>
    <w:rPr>
      <w:b/>
      <w:sz w:val="25"/>
    </w:rPr>
  </w:style>
  <w:style w:type="character" w:customStyle="1" w:styleId="Heading4Char">
    <w:name w:val="Heading 4 Char"/>
    <w:link w:val="Heading4"/>
    <w:rPr>
      <w:b/>
      <w:sz w:val="25"/>
    </w:rPr>
  </w:style>
  <w:style w:type="character" w:customStyle="1" w:styleId="Heading5Char">
    <w:name w:val="Heading 5 Char"/>
    <w:link w:val="Heading5"/>
    <w:rPr>
      <w:b/>
      <w:sz w:val="25"/>
    </w:rPr>
  </w:style>
  <w:style w:type="character" w:customStyle="1" w:styleId="Heading6Char">
    <w:name w:val="Heading 6 Char"/>
    <w:link w:val="Heading6"/>
    <w:rPr>
      <w:sz w:val="25"/>
    </w:rPr>
  </w:style>
  <w:style w:type="character" w:customStyle="1" w:styleId="Heading7Char">
    <w:name w:val="Heading 7 Char"/>
    <w:link w:val="Heading7"/>
    <w:rPr>
      <w:sz w:val="25"/>
    </w:rPr>
  </w:style>
  <w:style w:type="character" w:customStyle="1" w:styleId="Heading8Char">
    <w:name w:val="Heading 8 Char"/>
    <w:link w:val="Heading8"/>
    <w:rPr>
      <w:sz w:val="25"/>
    </w:rPr>
  </w:style>
  <w:style w:type="character" w:customStyle="1" w:styleId="Heading9Char">
    <w:name w:val="Heading 9 Char"/>
    <w:link w:val="Heading9"/>
    <w:rPr>
      <w:sz w:val="25"/>
    </w:rPr>
  </w:style>
  <w:style w:type="paragraph" w:customStyle="1" w:styleId="SignatureTable">
    <w:name w:val="Signature Table"/>
    <w:basedOn w:val="Normal"/>
    <w:pPr>
      <w:keepNext/>
      <w:keepLines/>
    </w:pPr>
    <w:rPr>
      <w:szCs w:val="20"/>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rFonts w:ascii="Arial" w:hAnsi="Arial"/>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x-none" w:eastAsia="x-none"/>
    </w:rPr>
  </w:style>
  <w:style w:type="character" w:customStyle="1" w:styleId="CommentTextChar">
    <w:name w:val="Comment Text Char"/>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rPr>
  </w:style>
  <w:style w:type="character" w:styleId="Emphasis">
    <w:name w:val="Emphasis"/>
    <w:uiPriority w:val="20"/>
    <w:qFormat/>
    <w:rPr>
      <w:i/>
      <w:iCs/>
    </w:rPr>
  </w:style>
  <w:style w:type="paragraph" w:styleId="TOCHeading">
    <w:name w:val="TOC Heading"/>
    <w:basedOn w:val="Heading1"/>
    <w:next w:val="Normal"/>
    <w:uiPriority w:val="39"/>
    <w:unhideWhenUsed/>
    <w:qFormat/>
    <w:pPr>
      <w:numPr>
        <w:numId w:val="0"/>
      </w:numPr>
      <w:spacing w:before="480" w:line="276" w:lineRule="auto"/>
      <w:outlineLvl w:val="9"/>
    </w:pPr>
    <w:rPr>
      <w:rFonts w:ascii="Cambria" w:eastAsia="MS Gothic" w:hAnsi="Cambria"/>
      <w:bCs/>
      <w:caps/>
      <w:color w:val="365F91"/>
      <w:lang w:val="en-US" w:eastAsia="ja-JP"/>
    </w:rPr>
  </w:style>
  <w:style w:type="paragraph" w:styleId="TOC1">
    <w:name w:val="toc 1"/>
    <w:basedOn w:val="Normal"/>
    <w:next w:val="Normal"/>
    <w:autoRedefine/>
    <w:uiPriority w:val="39"/>
    <w:pPr>
      <w:tabs>
        <w:tab w:val="right" w:leader="dot" w:pos="9350"/>
      </w:tabs>
      <w:spacing w:after="280"/>
      <w:ind w:left="720" w:hanging="720"/>
    </w:pPr>
  </w:style>
  <w:style w:type="paragraph" w:styleId="TOC2">
    <w:name w:val="toc 2"/>
    <w:basedOn w:val="Normal"/>
    <w:next w:val="Normal"/>
    <w:autoRedefine/>
    <w:uiPriority w:val="39"/>
    <w:pPr>
      <w:spacing w:after="280"/>
      <w:ind w:left="1440" w:hanging="720"/>
    </w:pPr>
  </w:style>
  <w:style w:type="paragraph" w:styleId="TOC3">
    <w:name w:val="toc 3"/>
    <w:basedOn w:val="Normal"/>
    <w:next w:val="Normal"/>
    <w:autoRedefine/>
    <w:uiPriority w:val="39"/>
    <w:pPr>
      <w:spacing w:after="280"/>
      <w:ind w:left="2160" w:hanging="720"/>
    </w:pPr>
  </w:style>
  <w:style w:type="paragraph" w:styleId="TableofAuthorities">
    <w:name w:val="table of authorities"/>
    <w:basedOn w:val="Normal"/>
    <w:next w:val="Normal"/>
    <w:uiPriority w:val="99"/>
    <w:pPr>
      <w:spacing w:after="240" w:line="280" w:lineRule="exact"/>
      <w:ind w:left="720" w:hanging="720"/>
    </w:pPr>
  </w:style>
  <w:style w:type="paragraph" w:styleId="TOAHeading">
    <w:name w:val="toa heading"/>
    <w:basedOn w:val="Normal"/>
    <w:next w:val="Normal"/>
    <w:uiPriority w:val="99"/>
    <w:pPr>
      <w:spacing w:after="240" w:line="280" w:lineRule="exact"/>
      <w:ind w:left="720" w:hanging="720"/>
    </w:pPr>
    <w:rPr>
      <w:b/>
      <w:bCs/>
    </w:rPr>
  </w:style>
  <w:style w:type="character" w:customStyle="1" w:styleId="apple-converted-space">
    <w:name w:val="apple-converted-space"/>
  </w:style>
  <w:style w:type="paragraph" w:customStyle="1" w:styleId="Default">
    <w:name w:val="Default"/>
    <w:link w:val="DefaultChar"/>
    <w:pPr>
      <w:autoSpaceDE w:val="0"/>
      <w:autoSpaceDN w:val="0"/>
      <w:adjustRightInd w:val="0"/>
    </w:pPr>
    <w:rPr>
      <w:color w:val="000000"/>
      <w:sz w:val="24"/>
      <w:szCs w:val="24"/>
    </w:rPr>
  </w:style>
  <w:style w:type="paragraph" w:styleId="Revision">
    <w:name w:val="Revision"/>
    <w:hidden/>
    <w:uiPriority w:val="99"/>
    <w:semiHidden/>
    <w:rPr>
      <w:rFonts w:ascii="Arial" w:hAnsi="Arial"/>
      <w:sz w:val="24"/>
      <w:szCs w:val="24"/>
    </w:rPr>
  </w:style>
  <w:style w:type="paragraph" w:customStyle="1" w:styleId="9thCirHeading1">
    <w:name w:val="9th Cir Heading 1"/>
    <w:basedOn w:val="Normal"/>
    <w:link w:val="9thCirHeading1Char"/>
    <w:qFormat/>
    <w:pPr>
      <w:keepNext/>
      <w:keepLines/>
      <w:spacing w:line="480" w:lineRule="auto"/>
      <w:jc w:val="center"/>
    </w:pPr>
    <w:rPr>
      <w:b/>
      <w:szCs w:val="28"/>
    </w:rPr>
  </w:style>
  <w:style w:type="paragraph" w:customStyle="1" w:styleId="9thCirHeading4">
    <w:name w:val="9th Cir Heading 4"/>
    <w:basedOn w:val="9thCirHeading3"/>
    <w:link w:val="9thCirHeading4Char"/>
    <w:qFormat/>
    <w:pPr>
      <w:ind w:left="2160"/>
    </w:pPr>
  </w:style>
  <w:style w:type="character" w:customStyle="1" w:styleId="9thCirHeading1Char">
    <w:name w:val="9th Cir Heading 1 Char"/>
    <w:link w:val="9thCirHeading1"/>
    <w:rPr>
      <w:b/>
      <w:sz w:val="28"/>
      <w:szCs w:val="28"/>
    </w:rPr>
  </w:style>
  <w:style w:type="paragraph" w:customStyle="1" w:styleId="9thCirHeading2">
    <w:name w:val="9th Cir Heading 2"/>
    <w:basedOn w:val="Normal"/>
    <w:link w:val="9thCirHeading2Char"/>
    <w:qFormat/>
    <w:pPr>
      <w:keepNext/>
      <w:keepLines/>
      <w:numPr>
        <w:numId w:val="33"/>
      </w:numPr>
      <w:spacing w:after="280"/>
      <w:ind w:left="720"/>
    </w:pPr>
    <w:rPr>
      <w:rFonts w:ascii="Times New Roman Bold" w:hAnsi="Times New Roman Bold"/>
      <w:b/>
      <w:caps/>
      <w:szCs w:val="28"/>
    </w:rPr>
  </w:style>
  <w:style w:type="paragraph" w:customStyle="1" w:styleId="9thCirHeading3">
    <w:name w:val="9th Cir Heading 3"/>
    <w:basedOn w:val="Normal"/>
    <w:link w:val="9thCirHeading3Char"/>
    <w:qFormat/>
    <w:pPr>
      <w:keepNext/>
      <w:keepLines/>
      <w:ind w:left="1440" w:hanging="720"/>
    </w:pPr>
    <w:rPr>
      <w:b/>
      <w:szCs w:val="28"/>
    </w:rPr>
  </w:style>
  <w:style w:type="paragraph" w:customStyle="1" w:styleId="DocID">
    <w:name w:val="DocID"/>
    <w:basedOn w:val="Footer"/>
    <w:next w:val="Footer"/>
    <w:link w:val="DocIDChar"/>
    <w:pPr>
      <w:tabs>
        <w:tab w:val="clear" w:pos="4320"/>
        <w:tab w:val="clear" w:pos="8640"/>
      </w:tabs>
      <w:spacing w:line="240" w:lineRule="auto"/>
    </w:pPr>
    <w:rPr>
      <w:sz w:val="18"/>
    </w:rPr>
  </w:style>
  <w:style w:type="character" w:customStyle="1" w:styleId="9thCirHeading2Char">
    <w:name w:val="9th Cir Heading 2 Char"/>
    <w:link w:val="9thCirHeading2"/>
    <w:rPr>
      <w:rFonts w:ascii="Times New Roman Bold" w:hAnsi="Times New Roman Bold"/>
      <w:b/>
      <w:caps/>
      <w:sz w:val="28"/>
      <w:szCs w:val="28"/>
    </w:rPr>
  </w:style>
  <w:style w:type="character" w:customStyle="1" w:styleId="9thCirHeading4Char">
    <w:name w:val="9th Cir Heading 4 Char"/>
    <w:link w:val="9thCirHeading4"/>
    <w:rPr>
      <w:b/>
      <w:sz w:val="28"/>
      <w:szCs w:val="28"/>
    </w:rPr>
  </w:style>
  <w:style w:type="character" w:customStyle="1" w:styleId="9thCirHeading3Char">
    <w:name w:val="9th Cir Heading 3 Char"/>
    <w:link w:val="9thCirHeading3"/>
    <w:rPr>
      <w:b/>
      <w:sz w:val="28"/>
      <w:szCs w:val="28"/>
    </w:rPr>
  </w:style>
  <w:style w:type="paragraph" w:styleId="TOC4">
    <w:name w:val="toc 4"/>
    <w:basedOn w:val="Normal"/>
    <w:next w:val="Normal"/>
    <w:autoRedefine/>
    <w:uiPriority w:val="39"/>
    <w:pPr>
      <w:spacing w:after="280"/>
      <w:ind w:left="2880" w:hanging="720"/>
    </w:pPr>
  </w:style>
  <w:style w:type="character" w:customStyle="1" w:styleId="DefaultChar">
    <w:name w:val="Default Char"/>
    <w:link w:val="Default"/>
    <w:rPr>
      <w:color w:val="000000"/>
      <w:sz w:val="24"/>
      <w:szCs w:val="24"/>
    </w:rPr>
  </w:style>
  <w:style w:type="character" w:customStyle="1" w:styleId="DocIDChar">
    <w:name w:val="DocID Char"/>
    <w:link w:val="DocID"/>
    <w:rPr>
      <w:color w:val="000000"/>
      <w:sz w:val="18"/>
      <w:szCs w:val="24"/>
      <w:lang w:val="en-US" w:eastAsia="en-US"/>
    </w:rPr>
  </w:style>
  <w:style w:type="character" w:customStyle="1" w:styleId="FooterChar">
    <w:name w:val="Footer Char"/>
    <w:link w:val="Footer"/>
    <w:uiPriority w:val="99"/>
    <w:rsid w:val="00CD0744"/>
    <w:rPr>
      <w:sz w:val="28"/>
    </w:rPr>
  </w:style>
  <w:style w:type="character" w:customStyle="1" w:styleId="UnresolvedMention1">
    <w:name w:val="Unresolved Mention1"/>
    <w:uiPriority w:val="99"/>
    <w:semiHidden/>
    <w:unhideWhenUsed/>
    <w:rsid w:val="00F834C9"/>
    <w:rPr>
      <w:color w:val="605E5C"/>
      <w:shd w:val="clear" w:color="auto" w:fill="E1DFDD"/>
    </w:rPr>
  </w:style>
  <w:style w:type="paragraph" w:styleId="ListParagraph">
    <w:name w:val="List Paragraph"/>
    <w:basedOn w:val="Normal"/>
    <w:uiPriority w:val="34"/>
    <w:qFormat/>
    <w:rsid w:val="007448DF"/>
    <w:pPr>
      <w:ind w:left="720"/>
      <w:contextualSpacing/>
    </w:pPr>
    <w:rPr>
      <w:rFonts w:eastAsia="Calibri"/>
      <w:szCs w:val="28"/>
    </w:rPr>
  </w:style>
  <w:style w:type="character" w:customStyle="1" w:styleId="HeaderChar">
    <w:name w:val="Header Char"/>
    <w:link w:val="Header"/>
    <w:uiPriority w:val="99"/>
    <w:rsid w:val="00D04C65"/>
    <w:rPr>
      <w:sz w:val="28"/>
    </w:rPr>
  </w:style>
  <w:style w:type="paragraph" w:customStyle="1" w:styleId="Footnote">
    <w:name w:val="Footnote"/>
    <w:basedOn w:val="FootnoteText"/>
    <w:link w:val="FootnoteChar"/>
    <w:qFormat/>
    <w:rsid w:val="00515DC6"/>
    <w:pPr>
      <w:spacing w:after="240" w:line="240" w:lineRule="auto"/>
      <w:ind w:firstLine="720"/>
    </w:pPr>
    <w:rPr>
      <w:rFonts w:ascii="Century Schoolbook" w:eastAsia="Calibri" w:hAnsi="Century Schoolbook"/>
      <w:kern w:val="2"/>
      <w:szCs w:val="28"/>
    </w:rPr>
  </w:style>
  <w:style w:type="character" w:customStyle="1" w:styleId="FootnoteChar">
    <w:name w:val="Footnote Char"/>
    <w:link w:val="Footnote"/>
    <w:rsid w:val="00515DC6"/>
    <w:rPr>
      <w:rFonts w:ascii="Century Schoolbook" w:eastAsia="Calibri" w:hAnsi="Century Schoolbook"/>
      <w:kern w:val="2"/>
      <w:sz w:val="28"/>
      <w:szCs w:val="28"/>
    </w:rPr>
  </w:style>
  <w:style w:type="paragraph" w:customStyle="1" w:styleId="Heading0">
    <w:name w:val="Heading 0"/>
    <w:next w:val="Body"/>
    <w:link w:val="Heading0Char"/>
    <w:qFormat/>
    <w:rsid w:val="00DE4699"/>
    <w:pPr>
      <w:pageBreakBefore/>
      <w:spacing w:line="480" w:lineRule="auto"/>
      <w:jc w:val="center"/>
      <w:outlineLvl w:val="0"/>
    </w:pPr>
    <w:rPr>
      <w:rFonts w:ascii="Century Schoolbook" w:eastAsia="Calibri" w:hAnsi="Century Schoolbook"/>
      <w:b/>
      <w:sz w:val="28"/>
      <w:szCs w:val="28"/>
      <w:lang w:val="x-none" w:eastAsia="x-none"/>
    </w:rPr>
  </w:style>
  <w:style w:type="character" w:customStyle="1" w:styleId="Heading0Char">
    <w:name w:val="Heading 0 Char"/>
    <w:basedOn w:val="Heading1Char"/>
    <w:link w:val="Heading0"/>
    <w:rsid w:val="00DE4699"/>
    <w:rPr>
      <w:rFonts w:ascii="Century Schoolbook" w:eastAsia="Calibri" w:hAnsi="Century Schoolbook"/>
      <w:b/>
      <w:sz w:val="28"/>
      <w:szCs w:val="28"/>
      <w:lang w:val="x-none" w:eastAsia="x-none"/>
    </w:rPr>
  </w:style>
  <w:style w:type="paragraph" w:customStyle="1" w:styleId="Body">
    <w:name w:val="Body"/>
    <w:basedOn w:val="Normal"/>
    <w:link w:val="BodyChar"/>
    <w:qFormat/>
    <w:rsid w:val="00314B97"/>
    <w:pPr>
      <w:spacing w:line="480" w:lineRule="auto"/>
      <w:ind w:firstLine="720"/>
    </w:pPr>
    <w:rPr>
      <w:rFonts w:ascii="Century Schoolbook" w:hAnsi="Century Schoolbook"/>
      <w:szCs w:val="28"/>
    </w:rPr>
  </w:style>
  <w:style w:type="character" w:customStyle="1" w:styleId="BodyChar">
    <w:name w:val="Body Char"/>
    <w:basedOn w:val="DefaultParagraphFont"/>
    <w:link w:val="Body"/>
    <w:rsid w:val="00314B97"/>
    <w:rPr>
      <w:rFonts w:ascii="Century Schoolbook" w:hAnsi="Century Schoolbook"/>
      <w:sz w:val="28"/>
      <w:szCs w:val="28"/>
    </w:rPr>
  </w:style>
  <w:style w:type="character" w:customStyle="1" w:styleId="gmail-il">
    <w:name w:val="gmail-il"/>
    <w:basedOn w:val="DefaultParagraphFont"/>
    <w:rsid w:val="0079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393">
      <w:bodyDiv w:val="1"/>
      <w:marLeft w:val="0"/>
      <w:marRight w:val="0"/>
      <w:marTop w:val="0"/>
      <w:marBottom w:val="0"/>
      <w:divBdr>
        <w:top w:val="none" w:sz="0" w:space="0" w:color="auto"/>
        <w:left w:val="none" w:sz="0" w:space="0" w:color="auto"/>
        <w:bottom w:val="none" w:sz="0" w:space="0" w:color="auto"/>
        <w:right w:val="none" w:sz="0" w:space="0" w:color="auto"/>
      </w:divBdr>
      <w:divsChild>
        <w:div w:id="604918773">
          <w:marLeft w:val="0"/>
          <w:marRight w:val="0"/>
          <w:marTop w:val="0"/>
          <w:marBottom w:val="0"/>
          <w:divBdr>
            <w:top w:val="none" w:sz="0" w:space="0" w:color="3D3D3D"/>
            <w:left w:val="none" w:sz="0" w:space="0" w:color="3D3D3D"/>
            <w:bottom w:val="none" w:sz="0" w:space="0" w:color="3D3D3D"/>
            <w:right w:val="none" w:sz="0" w:space="0" w:color="3D3D3D"/>
          </w:divBdr>
          <w:divsChild>
            <w:div w:id="13153318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820625">
      <w:bodyDiv w:val="1"/>
      <w:marLeft w:val="0"/>
      <w:marRight w:val="0"/>
      <w:marTop w:val="0"/>
      <w:marBottom w:val="0"/>
      <w:divBdr>
        <w:top w:val="none" w:sz="0" w:space="0" w:color="auto"/>
        <w:left w:val="none" w:sz="0" w:space="0" w:color="auto"/>
        <w:bottom w:val="none" w:sz="0" w:space="0" w:color="auto"/>
        <w:right w:val="none" w:sz="0" w:space="0" w:color="auto"/>
      </w:divBdr>
      <w:divsChild>
        <w:div w:id="713699488">
          <w:marLeft w:val="0"/>
          <w:marRight w:val="0"/>
          <w:marTop w:val="0"/>
          <w:marBottom w:val="0"/>
          <w:divBdr>
            <w:top w:val="none" w:sz="0" w:space="0" w:color="3D3D3D"/>
            <w:left w:val="none" w:sz="0" w:space="0" w:color="3D3D3D"/>
            <w:bottom w:val="none" w:sz="0" w:space="0" w:color="3D3D3D"/>
            <w:right w:val="none" w:sz="0" w:space="0" w:color="3D3D3D"/>
          </w:divBdr>
          <w:divsChild>
            <w:div w:id="8708028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000636">
      <w:bodyDiv w:val="1"/>
      <w:marLeft w:val="0"/>
      <w:marRight w:val="0"/>
      <w:marTop w:val="0"/>
      <w:marBottom w:val="0"/>
      <w:divBdr>
        <w:top w:val="none" w:sz="0" w:space="0" w:color="auto"/>
        <w:left w:val="none" w:sz="0" w:space="0" w:color="auto"/>
        <w:bottom w:val="none" w:sz="0" w:space="0" w:color="auto"/>
        <w:right w:val="none" w:sz="0" w:space="0" w:color="auto"/>
      </w:divBdr>
      <w:divsChild>
        <w:div w:id="501554378">
          <w:marLeft w:val="0"/>
          <w:marRight w:val="0"/>
          <w:marTop w:val="0"/>
          <w:marBottom w:val="0"/>
          <w:divBdr>
            <w:top w:val="none" w:sz="0" w:space="0" w:color="3D3D3D"/>
            <w:left w:val="none" w:sz="0" w:space="0" w:color="3D3D3D"/>
            <w:bottom w:val="none" w:sz="0" w:space="0" w:color="3D3D3D"/>
            <w:right w:val="none" w:sz="0" w:space="0" w:color="3D3D3D"/>
          </w:divBdr>
          <w:divsChild>
            <w:div w:id="21353192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6088509">
      <w:bodyDiv w:val="1"/>
      <w:marLeft w:val="0"/>
      <w:marRight w:val="0"/>
      <w:marTop w:val="0"/>
      <w:marBottom w:val="0"/>
      <w:divBdr>
        <w:top w:val="none" w:sz="0" w:space="0" w:color="auto"/>
        <w:left w:val="none" w:sz="0" w:space="0" w:color="auto"/>
        <w:bottom w:val="none" w:sz="0" w:space="0" w:color="auto"/>
        <w:right w:val="none" w:sz="0" w:space="0" w:color="auto"/>
      </w:divBdr>
    </w:div>
    <w:div w:id="255939388">
      <w:bodyDiv w:val="1"/>
      <w:marLeft w:val="0"/>
      <w:marRight w:val="0"/>
      <w:marTop w:val="0"/>
      <w:marBottom w:val="0"/>
      <w:divBdr>
        <w:top w:val="none" w:sz="0" w:space="0" w:color="auto"/>
        <w:left w:val="none" w:sz="0" w:space="0" w:color="auto"/>
        <w:bottom w:val="none" w:sz="0" w:space="0" w:color="auto"/>
        <w:right w:val="none" w:sz="0" w:space="0" w:color="auto"/>
      </w:divBdr>
    </w:div>
    <w:div w:id="300304057">
      <w:bodyDiv w:val="1"/>
      <w:marLeft w:val="0"/>
      <w:marRight w:val="0"/>
      <w:marTop w:val="0"/>
      <w:marBottom w:val="0"/>
      <w:divBdr>
        <w:top w:val="none" w:sz="0" w:space="0" w:color="auto"/>
        <w:left w:val="none" w:sz="0" w:space="0" w:color="auto"/>
        <w:bottom w:val="none" w:sz="0" w:space="0" w:color="auto"/>
        <w:right w:val="none" w:sz="0" w:space="0" w:color="auto"/>
      </w:divBdr>
      <w:divsChild>
        <w:div w:id="268850946">
          <w:marLeft w:val="0"/>
          <w:marRight w:val="0"/>
          <w:marTop w:val="0"/>
          <w:marBottom w:val="0"/>
          <w:divBdr>
            <w:top w:val="none" w:sz="0" w:space="0" w:color="3D3D3D"/>
            <w:left w:val="none" w:sz="0" w:space="0" w:color="3D3D3D"/>
            <w:bottom w:val="none" w:sz="0" w:space="0" w:color="3D3D3D"/>
            <w:right w:val="none" w:sz="0" w:space="0" w:color="3D3D3D"/>
          </w:divBdr>
          <w:divsChild>
            <w:div w:id="235634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684009">
      <w:bodyDiv w:val="1"/>
      <w:marLeft w:val="0"/>
      <w:marRight w:val="0"/>
      <w:marTop w:val="0"/>
      <w:marBottom w:val="0"/>
      <w:divBdr>
        <w:top w:val="none" w:sz="0" w:space="0" w:color="auto"/>
        <w:left w:val="none" w:sz="0" w:space="0" w:color="auto"/>
        <w:bottom w:val="none" w:sz="0" w:space="0" w:color="auto"/>
        <w:right w:val="none" w:sz="0" w:space="0" w:color="auto"/>
      </w:divBdr>
      <w:divsChild>
        <w:div w:id="841240479">
          <w:marLeft w:val="0"/>
          <w:marRight w:val="0"/>
          <w:marTop w:val="0"/>
          <w:marBottom w:val="0"/>
          <w:divBdr>
            <w:top w:val="none" w:sz="0" w:space="0" w:color="3D3D3D"/>
            <w:left w:val="none" w:sz="0" w:space="0" w:color="3D3D3D"/>
            <w:bottom w:val="none" w:sz="0" w:space="0" w:color="3D3D3D"/>
            <w:right w:val="none" w:sz="0" w:space="0" w:color="3D3D3D"/>
          </w:divBdr>
          <w:divsChild>
            <w:div w:id="707947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1861406">
      <w:bodyDiv w:val="1"/>
      <w:marLeft w:val="0"/>
      <w:marRight w:val="0"/>
      <w:marTop w:val="0"/>
      <w:marBottom w:val="0"/>
      <w:divBdr>
        <w:top w:val="none" w:sz="0" w:space="0" w:color="auto"/>
        <w:left w:val="none" w:sz="0" w:space="0" w:color="auto"/>
        <w:bottom w:val="none" w:sz="0" w:space="0" w:color="auto"/>
        <w:right w:val="none" w:sz="0" w:space="0" w:color="auto"/>
      </w:divBdr>
    </w:div>
    <w:div w:id="379133272">
      <w:bodyDiv w:val="1"/>
      <w:marLeft w:val="0"/>
      <w:marRight w:val="0"/>
      <w:marTop w:val="0"/>
      <w:marBottom w:val="0"/>
      <w:divBdr>
        <w:top w:val="none" w:sz="0" w:space="0" w:color="auto"/>
        <w:left w:val="none" w:sz="0" w:space="0" w:color="auto"/>
        <w:bottom w:val="none" w:sz="0" w:space="0" w:color="auto"/>
        <w:right w:val="none" w:sz="0" w:space="0" w:color="auto"/>
      </w:divBdr>
    </w:div>
    <w:div w:id="384835055">
      <w:bodyDiv w:val="1"/>
      <w:marLeft w:val="0"/>
      <w:marRight w:val="0"/>
      <w:marTop w:val="0"/>
      <w:marBottom w:val="0"/>
      <w:divBdr>
        <w:top w:val="none" w:sz="0" w:space="0" w:color="auto"/>
        <w:left w:val="none" w:sz="0" w:space="0" w:color="auto"/>
        <w:bottom w:val="none" w:sz="0" w:space="0" w:color="auto"/>
        <w:right w:val="none" w:sz="0" w:space="0" w:color="auto"/>
      </w:divBdr>
      <w:divsChild>
        <w:div w:id="721557710">
          <w:marLeft w:val="0"/>
          <w:marRight w:val="0"/>
          <w:marTop w:val="0"/>
          <w:marBottom w:val="0"/>
          <w:divBdr>
            <w:top w:val="none" w:sz="0" w:space="0" w:color="3D3D3D"/>
            <w:left w:val="none" w:sz="0" w:space="0" w:color="3D3D3D"/>
            <w:bottom w:val="none" w:sz="0" w:space="0" w:color="3D3D3D"/>
            <w:right w:val="none" w:sz="0" w:space="0" w:color="3D3D3D"/>
          </w:divBdr>
          <w:divsChild>
            <w:div w:id="8145695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605215">
      <w:bodyDiv w:val="1"/>
      <w:marLeft w:val="0"/>
      <w:marRight w:val="0"/>
      <w:marTop w:val="0"/>
      <w:marBottom w:val="0"/>
      <w:divBdr>
        <w:top w:val="none" w:sz="0" w:space="0" w:color="auto"/>
        <w:left w:val="none" w:sz="0" w:space="0" w:color="auto"/>
        <w:bottom w:val="none" w:sz="0" w:space="0" w:color="auto"/>
        <w:right w:val="none" w:sz="0" w:space="0" w:color="auto"/>
      </w:divBdr>
      <w:divsChild>
        <w:div w:id="520439917">
          <w:marLeft w:val="0"/>
          <w:marRight w:val="0"/>
          <w:marTop w:val="0"/>
          <w:marBottom w:val="0"/>
          <w:divBdr>
            <w:top w:val="none" w:sz="0" w:space="0" w:color="3D3D3D"/>
            <w:left w:val="none" w:sz="0" w:space="0" w:color="3D3D3D"/>
            <w:bottom w:val="none" w:sz="0" w:space="0" w:color="3D3D3D"/>
            <w:right w:val="none" w:sz="0" w:space="0" w:color="3D3D3D"/>
          </w:divBdr>
          <w:divsChild>
            <w:div w:id="1184254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391785">
      <w:bodyDiv w:val="1"/>
      <w:marLeft w:val="0"/>
      <w:marRight w:val="0"/>
      <w:marTop w:val="0"/>
      <w:marBottom w:val="0"/>
      <w:divBdr>
        <w:top w:val="none" w:sz="0" w:space="0" w:color="auto"/>
        <w:left w:val="none" w:sz="0" w:space="0" w:color="auto"/>
        <w:bottom w:val="none" w:sz="0" w:space="0" w:color="auto"/>
        <w:right w:val="none" w:sz="0" w:space="0" w:color="auto"/>
      </w:divBdr>
      <w:divsChild>
        <w:div w:id="737902178">
          <w:marLeft w:val="48"/>
          <w:marRight w:val="0"/>
          <w:marTop w:val="0"/>
          <w:marBottom w:val="0"/>
          <w:divBdr>
            <w:top w:val="none" w:sz="0" w:space="0" w:color="auto"/>
            <w:left w:val="none" w:sz="0" w:space="0" w:color="auto"/>
            <w:bottom w:val="none" w:sz="0" w:space="0" w:color="auto"/>
            <w:right w:val="none" w:sz="0" w:space="0" w:color="auto"/>
          </w:divBdr>
        </w:div>
      </w:divsChild>
    </w:div>
    <w:div w:id="561185674">
      <w:bodyDiv w:val="1"/>
      <w:marLeft w:val="0"/>
      <w:marRight w:val="0"/>
      <w:marTop w:val="0"/>
      <w:marBottom w:val="0"/>
      <w:divBdr>
        <w:top w:val="none" w:sz="0" w:space="0" w:color="auto"/>
        <w:left w:val="none" w:sz="0" w:space="0" w:color="auto"/>
        <w:bottom w:val="none" w:sz="0" w:space="0" w:color="auto"/>
        <w:right w:val="none" w:sz="0" w:space="0" w:color="auto"/>
      </w:divBdr>
      <w:divsChild>
        <w:div w:id="196623765">
          <w:marLeft w:val="0"/>
          <w:marRight w:val="0"/>
          <w:marTop w:val="0"/>
          <w:marBottom w:val="0"/>
          <w:divBdr>
            <w:top w:val="none" w:sz="0" w:space="0" w:color="3D3D3D"/>
            <w:left w:val="none" w:sz="0" w:space="0" w:color="3D3D3D"/>
            <w:bottom w:val="none" w:sz="0" w:space="0" w:color="3D3D3D"/>
            <w:right w:val="none" w:sz="0" w:space="0" w:color="3D3D3D"/>
          </w:divBdr>
          <w:divsChild>
            <w:div w:id="12437602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7305683">
      <w:bodyDiv w:val="1"/>
      <w:marLeft w:val="0"/>
      <w:marRight w:val="0"/>
      <w:marTop w:val="0"/>
      <w:marBottom w:val="0"/>
      <w:divBdr>
        <w:top w:val="none" w:sz="0" w:space="0" w:color="auto"/>
        <w:left w:val="none" w:sz="0" w:space="0" w:color="auto"/>
        <w:bottom w:val="none" w:sz="0" w:space="0" w:color="auto"/>
        <w:right w:val="none" w:sz="0" w:space="0" w:color="auto"/>
      </w:divBdr>
    </w:div>
    <w:div w:id="614410408">
      <w:bodyDiv w:val="1"/>
      <w:marLeft w:val="0"/>
      <w:marRight w:val="0"/>
      <w:marTop w:val="0"/>
      <w:marBottom w:val="0"/>
      <w:divBdr>
        <w:top w:val="none" w:sz="0" w:space="0" w:color="auto"/>
        <w:left w:val="none" w:sz="0" w:space="0" w:color="auto"/>
        <w:bottom w:val="none" w:sz="0" w:space="0" w:color="auto"/>
        <w:right w:val="none" w:sz="0" w:space="0" w:color="auto"/>
      </w:divBdr>
      <w:divsChild>
        <w:div w:id="580916713">
          <w:marLeft w:val="0"/>
          <w:marRight w:val="0"/>
          <w:marTop w:val="0"/>
          <w:marBottom w:val="0"/>
          <w:divBdr>
            <w:top w:val="none" w:sz="0" w:space="0" w:color="3D3D3D"/>
            <w:left w:val="none" w:sz="0" w:space="0" w:color="3D3D3D"/>
            <w:bottom w:val="none" w:sz="0" w:space="0" w:color="3D3D3D"/>
            <w:right w:val="none" w:sz="0" w:space="0" w:color="3D3D3D"/>
          </w:divBdr>
          <w:divsChild>
            <w:div w:id="9277325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6380571">
      <w:bodyDiv w:val="1"/>
      <w:marLeft w:val="0"/>
      <w:marRight w:val="0"/>
      <w:marTop w:val="0"/>
      <w:marBottom w:val="0"/>
      <w:divBdr>
        <w:top w:val="none" w:sz="0" w:space="0" w:color="auto"/>
        <w:left w:val="none" w:sz="0" w:space="0" w:color="auto"/>
        <w:bottom w:val="none" w:sz="0" w:space="0" w:color="auto"/>
        <w:right w:val="none" w:sz="0" w:space="0" w:color="auto"/>
      </w:divBdr>
    </w:div>
    <w:div w:id="662583038">
      <w:bodyDiv w:val="1"/>
      <w:marLeft w:val="0"/>
      <w:marRight w:val="0"/>
      <w:marTop w:val="0"/>
      <w:marBottom w:val="0"/>
      <w:divBdr>
        <w:top w:val="none" w:sz="0" w:space="0" w:color="auto"/>
        <w:left w:val="none" w:sz="0" w:space="0" w:color="auto"/>
        <w:bottom w:val="none" w:sz="0" w:space="0" w:color="auto"/>
        <w:right w:val="none" w:sz="0" w:space="0" w:color="auto"/>
      </w:divBdr>
    </w:div>
    <w:div w:id="693380036">
      <w:bodyDiv w:val="1"/>
      <w:marLeft w:val="0"/>
      <w:marRight w:val="0"/>
      <w:marTop w:val="0"/>
      <w:marBottom w:val="0"/>
      <w:divBdr>
        <w:top w:val="none" w:sz="0" w:space="0" w:color="auto"/>
        <w:left w:val="none" w:sz="0" w:space="0" w:color="auto"/>
        <w:bottom w:val="none" w:sz="0" w:space="0" w:color="auto"/>
        <w:right w:val="none" w:sz="0" w:space="0" w:color="auto"/>
      </w:divBdr>
    </w:div>
    <w:div w:id="696471296">
      <w:bodyDiv w:val="1"/>
      <w:marLeft w:val="0"/>
      <w:marRight w:val="0"/>
      <w:marTop w:val="0"/>
      <w:marBottom w:val="0"/>
      <w:divBdr>
        <w:top w:val="none" w:sz="0" w:space="0" w:color="auto"/>
        <w:left w:val="none" w:sz="0" w:space="0" w:color="auto"/>
        <w:bottom w:val="none" w:sz="0" w:space="0" w:color="auto"/>
        <w:right w:val="none" w:sz="0" w:space="0" w:color="auto"/>
      </w:divBdr>
      <w:divsChild>
        <w:div w:id="1105611976">
          <w:marLeft w:val="0"/>
          <w:marRight w:val="0"/>
          <w:marTop w:val="0"/>
          <w:marBottom w:val="0"/>
          <w:divBdr>
            <w:top w:val="none" w:sz="0" w:space="0" w:color="3D3D3D"/>
            <w:left w:val="none" w:sz="0" w:space="0" w:color="3D3D3D"/>
            <w:bottom w:val="none" w:sz="0" w:space="0" w:color="3D3D3D"/>
            <w:right w:val="none" w:sz="0" w:space="0" w:color="3D3D3D"/>
          </w:divBdr>
          <w:divsChild>
            <w:div w:id="7856643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0592936">
      <w:bodyDiv w:val="1"/>
      <w:marLeft w:val="0"/>
      <w:marRight w:val="0"/>
      <w:marTop w:val="0"/>
      <w:marBottom w:val="0"/>
      <w:divBdr>
        <w:top w:val="none" w:sz="0" w:space="0" w:color="auto"/>
        <w:left w:val="none" w:sz="0" w:space="0" w:color="auto"/>
        <w:bottom w:val="none" w:sz="0" w:space="0" w:color="auto"/>
        <w:right w:val="none" w:sz="0" w:space="0" w:color="auto"/>
      </w:divBdr>
      <w:divsChild>
        <w:div w:id="2113164458">
          <w:marLeft w:val="0"/>
          <w:marRight w:val="0"/>
          <w:marTop w:val="0"/>
          <w:marBottom w:val="0"/>
          <w:divBdr>
            <w:top w:val="none" w:sz="0" w:space="0" w:color="3D3D3D"/>
            <w:left w:val="none" w:sz="0" w:space="0" w:color="3D3D3D"/>
            <w:bottom w:val="none" w:sz="0" w:space="0" w:color="3D3D3D"/>
            <w:right w:val="none" w:sz="0" w:space="0" w:color="3D3D3D"/>
          </w:divBdr>
          <w:divsChild>
            <w:div w:id="682823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9762094">
      <w:bodyDiv w:val="1"/>
      <w:marLeft w:val="0"/>
      <w:marRight w:val="0"/>
      <w:marTop w:val="0"/>
      <w:marBottom w:val="0"/>
      <w:divBdr>
        <w:top w:val="none" w:sz="0" w:space="0" w:color="auto"/>
        <w:left w:val="none" w:sz="0" w:space="0" w:color="auto"/>
        <w:bottom w:val="none" w:sz="0" w:space="0" w:color="auto"/>
        <w:right w:val="none" w:sz="0" w:space="0" w:color="auto"/>
      </w:divBdr>
    </w:div>
    <w:div w:id="761075141">
      <w:bodyDiv w:val="1"/>
      <w:marLeft w:val="0"/>
      <w:marRight w:val="0"/>
      <w:marTop w:val="0"/>
      <w:marBottom w:val="0"/>
      <w:divBdr>
        <w:top w:val="none" w:sz="0" w:space="0" w:color="auto"/>
        <w:left w:val="none" w:sz="0" w:space="0" w:color="auto"/>
        <w:bottom w:val="none" w:sz="0" w:space="0" w:color="auto"/>
        <w:right w:val="none" w:sz="0" w:space="0" w:color="auto"/>
      </w:divBdr>
    </w:div>
    <w:div w:id="868028675">
      <w:bodyDiv w:val="1"/>
      <w:marLeft w:val="0"/>
      <w:marRight w:val="0"/>
      <w:marTop w:val="0"/>
      <w:marBottom w:val="0"/>
      <w:divBdr>
        <w:top w:val="none" w:sz="0" w:space="0" w:color="auto"/>
        <w:left w:val="none" w:sz="0" w:space="0" w:color="auto"/>
        <w:bottom w:val="none" w:sz="0" w:space="0" w:color="auto"/>
        <w:right w:val="none" w:sz="0" w:space="0" w:color="auto"/>
      </w:divBdr>
      <w:divsChild>
        <w:div w:id="239946742">
          <w:marLeft w:val="48"/>
          <w:marRight w:val="0"/>
          <w:marTop w:val="0"/>
          <w:marBottom w:val="0"/>
          <w:divBdr>
            <w:top w:val="none" w:sz="0" w:space="0" w:color="auto"/>
            <w:left w:val="none" w:sz="0" w:space="0" w:color="auto"/>
            <w:bottom w:val="none" w:sz="0" w:space="0" w:color="auto"/>
            <w:right w:val="none" w:sz="0" w:space="0" w:color="auto"/>
          </w:divBdr>
        </w:div>
      </w:divsChild>
    </w:div>
    <w:div w:id="872959557">
      <w:bodyDiv w:val="1"/>
      <w:marLeft w:val="0"/>
      <w:marRight w:val="0"/>
      <w:marTop w:val="0"/>
      <w:marBottom w:val="0"/>
      <w:divBdr>
        <w:top w:val="none" w:sz="0" w:space="0" w:color="auto"/>
        <w:left w:val="none" w:sz="0" w:space="0" w:color="auto"/>
        <w:bottom w:val="none" w:sz="0" w:space="0" w:color="auto"/>
        <w:right w:val="none" w:sz="0" w:space="0" w:color="auto"/>
      </w:divBdr>
      <w:divsChild>
        <w:div w:id="297147999">
          <w:marLeft w:val="0"/>
          <w:marRight w:val="0"/>
          <w:marTop w:val="0"/>
          <w:marBottom w:val="0"/>
          <w:divBdr>
            <w:top w:val="none" w:sz="0" w:space="0" w:color="3D3D3D"/>
            <w:left w:val="none" w:sz="0" w:space="0" w:color="3D3D3D"/>
            <w:bottom w:val="none" w:sz="0" w:space="0" w:color="3D3D3D"/>
            <w:right w:val="none" w:sz="0" w:space="0" w:color="3D3D3D"/>
          </w:divBdr>
          <w:divsChild>
            <w:div w:id="18541502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8755987">
      <w:bodyDiv w:val="1"/>
      <w:marLeft w:val="0"/>
      <w:marRight w:val="0"/>
      <w:marTop w:val="0"/>
      <w:marBottom w:val="0"/>
      <w:divBdr>
        <w:top w:val="none" w:sz="0" w:space="0" w:color="auto"/>
        <w:left w:val="none" w:sz="0" w:space="0" w:color="auto"/>
        <w:bottom w:val="none" w:sz="0" w:space="0" w:color="auto"/>
        <w:right w:val="none" w:sz="0" w:space="0" w:color="auto"/>
      </w:divBdr>
      <w:divsChild>
        <w:div w:id="513346015">
          <w:marLeft w:val="0"/>
          <w:marRight w:val="0"/>
          <w:marTop w:val="0"/>
          <w:marBottom w:val="0"/>
          <w:divBdr>
            <w:top w:val="none" w:sz="0" w:space="0" w:color="3D3D3D"/>
            <w:left w:val="none" w:sz="0" w:space="0" w:color="3D3D3D"/>
            <w:bottom w:val="none" w:sz="0" w:space="0" w:color="3D3D3D"/>
            <w:right w:val="none" w:sz="0" w:space="0" w:color="3D3D3D"/>
          </w:divBdr>
          <w:divsChild>
            <w:div w:id="12005086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2832698">
      <w:bodyDiv w:val="1"/>
      <w:marLeft w:val="0"/>
      <w:marRight w:val="0"/>
      <w:marTop w:val="0"/>
      <w:marBottom w:val="0"/>
      <w:divBdr>
        <w:top w:val="none" w:sz="0" w:space="0" w:color="auto"/>
        <w:left w:val="none" w:sz="0" w:space="0" w:color="auto"/>
        <w:bottom w:val="none" w:sz="0" w:space="0" w:color="auto"/>
        <w:right w:val="none" w:sz="0" w:space="0" w:color="auto"/>
      </w:divBdr>
      <w:divsChild>
        <w:div w:id="1174495300">
          <w:marLeft w:val="0"/>
          <w:marRight w:val="0"/>
          <w:marTop w:val="0"/>
          <w:marBottom w:val="0"/>
          <w:divBdr>
            <w:top w:val="none" w:sz="0" w:space="0" w:color="3D3D3D"/>
            <w:left w:val="none" w:sz="0" w:space="0" w:color="3D3D3D"/>
            <w:bottom w:val="none" w:sz="0" w:space="0" w:color="3D3D3D"/>
            <w:right w:val="none" w:sz="0" w:space="0" w:color="3D3D3D"/>
          </w:divBdr>
          <w:divsChild>
            <w:div w:id="19584904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3559107">
      <w:bodyDiv w:val="1"/>
      <w:marLeft w:val="0"/>
      <w:marRight w:val="0"/>
      <w:marTop w:val="0"/>
      <w:marBottom w:val="0"/>
      <w:divBdr>
        <w:top w:val="none" w:sz="0" w:space="0" w:color="auto"/>
        <w:left w:val="none" w:sz="0" w:space="0" w:color="auto"/>
        <w:bottom w:val="none" w:sz="0" w:space="0" w:color="auto"/>
        <w:right w:val="none" w:sz="0" w:space="0" w:color="auto"/>
      </w:divBdr>
      <w:divsChild>
        <w:div w:id="1044911704">
          <w:marLeft w:val="48"/>
          <w:marRight w:val="0"/>
          <w:marTop w:val="0"/>
          <w:marBottom w:val="0"/>
          <w:divBdr>
            <w:top w:val="none" w:sz="0" w:space="0" w:color="auto"/>
            <w:left w:val="none" w:sz="0" w:space="0" w:color="auto"/>
            <w:bottom w:val="none" w:sz="0" w:space="0" w:color="auto"/>
            <w:right w:val="none" w:sz="0" w:space="0" w:color="auto"/>
          </w:divBdr>
        </w:div>
      </w:divsChild>
    </w:div>
    <w:div w:id="1011906770">
      <w:bodyDiv w:val="1"/>
      <w:marLeft w:val="0"/>
      <w:marRight w:val="0"/>
      <w:marTop w:val="0"/>
      <w:marBottom w:val="0"/>
      <w:divBdr>
        <w:top w:val="none" w:sz="0" w:space="0" w:color="auto"/>
        <w:left w:val="none" w:sz="0" w:space="0" w:color="auto"/>
        <w:bottom w:val="none" w:sz="0" w:space="0" w:color="auto"/>
        <w:right w:val="none" w:sz="0" w:space="0" w:color="auto"/>
      </w:divBdr>
    </w:div>
    <w:div w:id="1012488448">
      <w:bodyDiv w:val="1"/>
      <w:marLeft w:val="0"/>
      <w:marRight w:val="0"/>
      <w:marTop w:val="0"/>
      <w:marBottom w:val="0"/>
      <w:divBdr>
        <w:top w:val="none" w:sz="0" w:space="0" w:color="auto"/>
        <w:left w:val="none" w:sz="0" w:space="0" w:color="auto"/>
        <w:bottom w:val="none" w:sz="0" w:space="0" w:color="auto"/>
        <w:right w:val="none" w:sz="0" w:space="0" w:color="auto"/>
      </w:divBdr>
      <w:divsChild>
        <w:div w:id="1624577824">
          <w:marLeft w:val="0"/>
          <w:marRight w:val="0"/>
          <w:marTop w:val="0"/>
          <w:marBottom w:val="0"/>
          <w:divBdr>
            <w:top w:val="none" w:sz="0" w:space="0" w:color="3D3D3D"/>
            <w:left w:val="none" w:sz="0" w:space="0" w:color="3D3D3D"/>
            <w:bottom w:val="none" w:sz="0" w:space="0" w:color="3D3D3D"/>
            <w:right w:val="none" w:sz="0" w:space="0" w:color="3D3D3D"/>
          </w:divBdr>
          <w:divsChild>
            <w:div w:id="1563831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7537896">
      <w:bodyDiv w:val="1"/>
      <w:marLeft w:val="0"/>
      <w:marRight w:val="0"/>
      <w:marTop w:val="0"/>
      <w:marBottom w:val="0"/>
      <w:divBdr>
        <w:top w:val="none" w:sz="0" w:space="0" w:color="auto"/>
        <w:left w:val="none" w:sz="0" w:space="0" w:color="auto"/>
        <w:bottom w:val="none" w:sz="0" w:space="0" w:color="auto"/>
        <w:right w:val="none" w:sz="0" w:space="0" w:color="auto"/>
      </w:divBdr>
    </w:div>
    <w:div w:id="1080760066">
      <w:bodyDiv w:val="1"/>
      <w:marLeft w:val="0"/>
      <w:marRight w:val="0"/>
      <w:marTop w:val="0"/>
      <w:marBottom w:val="0"/>
      <w:divBdr>
        <w:top w:val="none" w:sz="0" w:space="0" w:color="auto"/>
        <w:left w:val="none" w:sz="0" w:space="0" w:color="auto"/>
        <w:bottom w:val="none" w:sz="0" w:space="0" w:color="auto"/>
        <w:right w:val="none" w:sz="0" w:space="0" w:color="auto"/>
      </w:divBdr>
    </w:div>
    <w:div w:id="1092775112">
      <w:bodyDiv w:val="1"/>
      <w:marLeft w:val="0"/>
      <w:marRight w:val="0"/>
      <w:marTop w:val="0"/>
      <w:marBottom w:val="0"/>
      <w:divBdr>
        <w:top w:val="none" w:sz="0" w:space="0" w:color="auto"/>
        <w:left w:val="none" w:sz="0" w:space="0" w:color="auto"/>
        <w:bottom w:val="none" w:sz="0" w:space="0" w:color="auto"/>
        <w:right w:val="none" w:sz="0" w:space="0" w:color="auto"/>
      </w:divBdr>
    </w:div>
    <w:div w:id="1167860989">
      <w:bodyDiv w:val="1"/>
      <w:marLeft w:val="0"/>
      <w:marRight w:val="0"/>
      <w:marTop w:val="0"/>
      <w:marBottom w:val="0"/>
      <w:divBdr>
        <w:top w:val="none" w:sz="0" w:space="0" w:color="auto"/>
        <w:left w:val="none" w:sz="0" w:space="0" w:color="auto"/>
        <w:bottom w:val="none" w:sz="0" w:space="0" w:color="auto"/>
        <w:right w:val="none" w:sz="0" w:space="0" w:color="auto"/>
      </w:divBdr>
      <w:divsChild>
        <w:div w:id="424351037">
          <w:marLeft w:val="0"/>
          <w:marRight w:val="0"/>
          <w:marTop w:val="0"/>
          <w:marBottom w:val="0"/>
          <w:divBdr>
            <w:top w:val="none" w:sz="0" w:space="0" w:color="auto"/>
            <w:left w:val="none" w:sz="0" w:space="0" w:color="auto"/>
            <w:bottom w:val="none" w:sz="0" w:space="0" w:color="auto"/>
            <w:right w:val="none" w:sz="0" w:space="0" w:color="auto"/>
          </w:divBdr>
        </w:div>
      </w:divsChild>
    </w:div>
    <w:div w:id="1197546770">
      <w:bodyDiv w:val="1"/>
      <w:marLeft w:val="0"/>
      <w:marRight w:val="0"/>
      <w:marTop w:val="0"/>
      <w:marBottom w:val="0"/>
      <w:divBdr>
        <w:top w:val="none" w:sz="0" w:space="0" w:color="auto"/>
        <w:left w:val="none" w:sz="0" w:space="0" w:color="auto"/>
        <w:bottom w:val="none" w:sz="0" w:space="0" w:color="auto"/>
        <w:right w:val="none" w:sz="0" w:space="0" w:color="auto"/>
      </w:divBdr>
      <w:divsChild>
        <w:div w:id="366564526">
          <w:marLeft w:val="0"/>
          <w:marRight w:val="0"/>
          <w:marTop w:val="0"/>
          <w:marBottom w:val="0"/>
          <w:divBdr>
            <w:top w:val="none" w:sz="0" w:space="0" w:color="3D3D3D"/>
            <w:left w:val="none" w:sz="0" w:space="0" w:color="3D3D3D"/>
            <w:bottom w:val="none" w:sz="0" w:space="0" w:color="3D3D3D"/>
            <w:right w:val="none" w:sz="0" w:space="0" w:color="3D3D3D"/>
          </w:divBdr>
          <w:divsChild>
            <w:div w:id="7827667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2614400">
      <w:bodyDiv w:val="1"/>
      <w:marLeft w:val="0"/>
      <w:marRight w:val="0"/>
      <w:marTop w:val="0"/>
      <w:marBottom w:val="0"/>
      <w:divBdr>
        <w:top w:val="none" w:sz="0" w:space="0" w:color="auto"/>
        <w:left w:val="none" w:sz="0" w:space="0" w:color="auto"/>
        <w:bottom w:val="none" w:sz="0" w:space="0" w:color="auto"/>
        <w:right w:val="none" w:sz="0" w:space="0" w:color="auto"/>
      </w:divBdr>
    </w:div>
    <w:div w:id="1242908010">
      <w:bodyDiv w:val="1"/>
      <w:marLeft w:val="0"/>
      <w:marRight w:val="0"/>
      <w:marTop w:val="0"/>
      <w:marBottom w:val="0"/>
      <w:divBdr>
        <w:top w:val="none" w:sz="0" w:space="0" w:color="auto"/>
        <w:left w:val="none" w:sz="0" w:space="0" w:color="auto"/>
        <w:bottom w:val="none" w:sz="0" w:space="0" w:color="auto"/>
        <w:right w:val="none" w:sz="0" w:space="0" w:color="auto"/>
      </w:divBdr>
      <w:divsChild>
        <w:div w:id="905192212">
          <w:marLeft w:val="0"/>
          <w:marRight w:val="0"/>
          <w:marTop w:val="0"/>
          <w:marBottom w:val="0"/>
          <w:divBdr>
            <w:top w:val="none" w:sz="0" w:space="0" w:color="3D3D3D"/>
            <w:left w:val="none" w:sz="0" w:space="0" w:color="3D3D3D"/>
            <w:bottom w:val="none" w:sz="0" w:space="0" w:color="3D3D3D"/>
            <w:right w:val="none" w:sz="0" w:space="0" w:color="3D3D3D"/>
          </w:divBdr>
          <w:divsChild>
            <w:div w:id="3496001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8027283">
      <w:bodyDiv w:val="1"/>
      <w:marLeft w:val="0"/>
      <w:marRight w:val="0"/>
      <w:marTop w:val="0"/>
      <w:marBottom w:val="0"/>
      <w:divBdr>
        <w:top w:val="none" w:sz="0" w:space="0" w:color="auto"/>
        <w:left w:val="none" w:sz="0" w:space="0" w:color="auto"/>
        <w:bottom w:val="none" w:sz="0" w:space="0" w:color="auto"/>
        <w:right w:val="none" w:sz="0" w:space="0" w:color="auto"/>
      </w:divBdr>
    </w:div>
    <w:div w:id="1279531586">
      <w:bodyDiv w:val="1"/>
      <w:marLeft w:val="0"/>
      <w:marRight w:val="0"/>
      <w:marTop w:val="0"/>
      <w:marBottom w:val="0"/>
      <w:divBdr>
        <w:top w:val="none" w:sz="0" w:space="0" w:color="auto"/>
        <w:left w:val="none" w:sz="0" w:space="0" w:color="auto"/>
        <w:bottom w:val="none" w:sz="0" w:space="0" w:color="auto"/>
        <w:right w:val="none" w:sz="0" w:space="0" w:color="auto"/>
      </w:divBdr>
    </w:div>
    <w:div w:id="1279680450">
      <w:bodyDiv w:val="1"/>
      <w:marLeft w:val="0"/>
      <w:marRight w:val="0"/>
      <w:marTop w:val="0"/>
      <w:marBottom w:val="0"/>
      <w:divBdr>
        <w:top w:val="none" w:sz="0" w:space="0" w:color="auto"/>
        <w:left w:val="none" w:sz="0" w:space="0" w:color="auto"/>
        <w:bottom w:val="none" w:sz="0" w:space="0" w:color="auto"/>
        <w:right w:val="none" w:sz="0" w:space="0" w:color="auto"/>
      </w:divBdr>
    </w:div>
    <w:div w:id="1312516757">
      <w:bodyDiv w:val="1"/>
      <w:marLeft w:val="0"/>
      <w:marRight w:val="0"/>
      <w:marTop w:val="0"/>
      <w:marBottom w:val="0"/>
      <w:divBdr>
        <w:top w:val="none" w:sz="0" w:space="0" w:color="auto"/>
        <w:left w:val="none" w:sz="0" w:space="0" w:color="auto"/>
        <w:bottom w:val="none" w:sz="0" w:space="0" w:color="auto"/>
        <w:right w:val="none" w:sz="0" w:space="0" w:color="auto"/>
      </w:divBdr>
      <w:divsChild>
        <w:div w:id="1426075863">
          <w:marLeft w:val="0"/>
          <w:marRight w:val="0"/>
          <w:marTop w:val="0"/>
          <w:marBottom w:val="0"/>
          <w:divBdr>
            <w:top w:val="none" w:sz="0" w:space="0" w:color="3D3D3D"/>
            <w:left w:val="none" w:sz="0" w:space="0" w:color="3D3D3D"/>
            <w:bottom w:val="none" w:sz="0" w:space="0" w:color="3D3D3D"/>
            <w:right w:val="none" w:sz="0" w:space="0" w:color="3D3D3D"/>
          </w:divBdr>
          <w:divsChild>
            <w:div w:id="7806894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9911772">
      <w:bodyDiv w:val="1"/>
      <w:marLeft w:val="0"/>
      <w:marRight w:val="0"/>
      <w:marTop w:val="0"/>
      <w:marBottom w:val="0"/>
      <w:divBdr>
        <w:top w:val="none" w:sz="0" w:space="0" w:color="auto"/>
        <w:left w:val="none" w:sz="0" w:space="0" w:color="auto"/>
        <w:bottom w:val="none" w:sz="0" w:space="0" w:color="auto"/>
        <w:right w:val="none" w:sz="0" w:space="0" w:color="auto"/>
      </w:divBdr>
      <w:divsChild>
        <w:div w:id="1348865474">
          <w:marLeft w:val="0"/>
          <w:marRight w:val="0"/>
          <w:marTop w:val="0"/>
          <w:marBottom w:val="0"/>
          <w:divBdr>
            <w:top w:val="none" w:sz="0" w:space="0" w:color="3D3D3D"/>
            <w:left w:val="none" w:sz="0" w:space="0" w:color="3D3D3D"/>
            <w:bottom w:val="none" w:sz="0" w:space="0" w:color="3D3D3D"/>
            <w:right w:val="none" w:sz="0" w:space="0" w:color="3D3D3D"/>
          </w:divBdr>
          <w:divsChild>
            <w:div w:id="10055215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9667749">
      <w:bodyDiv w:val="1"/>
      <w:marLeft w:val="0"/>
      <w:marRight w:val="0"/>
      <w:marTop w:val="0"/>
      <w:marBottom w:val="0"/>
      <w:divBdr>
        <w:top w:val="none" w:sz="0" w:space="0" w:color="auto"/>
        <w:left w:val="none" w:sz="0" w:space="0" w:color="auto"/>
        <w:bottom w:val="none" w:sz="0" w:space="0" w:color="auto"/>
        <w:right w:val="none" w:sz="0" w:space="0" w:color="auto"/>
      </w:divBdr>
      <w:divsChild>
        <w:div w:id="475294813">
          <w:marLeft w:val="0"/>
          <w:marRight w:val="0"/>
          <w:marTop w:val="0"/>
          <w:marBottom w:val="160"/>
          <w:divBdr>
            <w:top w:val="none" w:sz="0" w:space="0" w:color="auto"/>
            <w:left w:val="none" w:sz="0" w:space="0" w:color="auto"/>
            <w:bottom w:val="none" w:sz="0" w:space="0" w:color="auto"/>
            <w:right w:val="none" w:sz="0" w:space="0" w:color="auto"/>
          </w:divBdr>
        </w:div>
        <w:div w:id="1353334979">
          <w:marLeft w:val="0"/>
          <w:marRight w:val="0"/>
          <w:marTop w:val="0"/>
          <w:marBottom w:val="160"/>
          <w:divBdr>
            <w:top w:val="none" w:sz="0" w:space="0" w:color="auto"/>
            <w:left w:val="none" w:sz="0" w:space="0" w:color="auto"/>
            <w:bottom w:val="none" w:sz="0" w:space="0" w:color="auto"/>
            <w:right w:val="none" w:sz="0" w:space="0" w:color="auto"/>
          </w:divBdr>
        </w:div>
      </w:divsChild>
    </w:div>
    <w:div w:id="1389526179">
      <w:bodyDiv w:val="1"/>
      <w:marLeft w:val="0"/>
      <w:marRight w:val="0"/>
      <w:marTop w:val="0"/>
      <w:marBottom w:val="0"/>
      <w:divBdr>
        <w:top w:val="none" w:sz="0" w:space="0" w:color="auto"/>
        <w:left w:val="none" w:sz="0" w:space="0" w:color="auto"/>
        <w:bottom w:val="none" w:sz="0" w:space="0" w:color="auto"/>
        <w:right w:val="none" w:sz="0" w:space="0" w:color="auto"/>
      </w:divBdr>
    </w:div>
    <w:div w:id="1409112624">
      <w:bodyDiv w:val="1"/>
      <w:marLeft w:val="0"/>
      <w:marRight w:val="0"/>
      <w:marTop w:val="0"/>
      <w:marBottom w:val="0"/>
      <w:divBdr>
        <w:top w:val="none" w:sz="0" w:space="0" w:color="auto"/>
        <w:left w:val="none" w:sz="0" w:space="0" w:color="auto"/>
        <w:bottom w:val="none" w:sz="0" w:space="0" w:color="auto"/>
        <w:right w:val="none" w:sz="0" w:space="0" w:color="auto"/>
      </w:divBdr>
      <w:divsChild>
        <w:div w:id="1511530544">
          <w:marLeft w:val="0"/>
          <w:marRight w:val="0"/>
          <w:marTop w:val="0"/>
          <w:marBottom w:val="0"/>
          <w:divBdr>
            <w:top w:val="none" w:sz="0" w:space="0" w:color="3D3D3D"/>
            <w:left w:val="none" w:sz="0" w:space="0" w:color="3D3D3D"/>
            <w:bottom w:val="none" w:sz="0" w:space="0" w:color="3D3D3D"/>
            <w:right w:val="none" w:sz="0" w:space="0" w:color="3D3D3D"/>
          </w:divBdr>
          <w:divsChild>
            <w:div w:id="1111748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3719577">
      <w:bodyDiv w:val="1"/>
      <w:marLeft w:val="0"/>
      <w:marRight w:val="0"/>
      <w:marTop w:val="0"/>
      <w:marBottom w:val="0"/>
      <w:divBdr>
        <w:top w:val="none" w:sz="0" w:space="0" w:color="auto"/>
        <w:left w:val="none" w:sz="0" w:space="0" w:color="auto"/>
        <w:bottom w:val="none" w:sz="0" w:space="0" w:color="auto"/>
        <w:right w:val="none" w:sz="0" w:space="0" w:color="auto"/>
      </w:divBdr>
    </w:div>
    <w:div w:id="1447313404">
      <w:bodyDiv w:val="1"/>
      <w:marLeft w:val="0"/>
      <w:marRight w:val="0"/>
      <w:marTop w:val="0"/>
      <w:marBottom w:val="0"/>
      <w:divBdr>
        <w:top w:val="none" w:sz="0" w:space="0" w:color="auto"/>
        <w:left w:val="none" w:sz="0" w:space="0" w:color="auto"/>
        <w:bottom w:val="none" w:sz="0" w:space="0" w:color="auto"/>
        <w:right w:val="none" w:sz="0" w:space="0" w:color="auto"/>
      </w:divBdr>
      <w:divsChild>
        <w:div w:id="765267037">
          <w:marLeft w:val="0"/>
          <w:marRight w:val="0"/>
          <w:marTop w:val="0"/>
          <w:marBottom w:val="0"/>
          <w:divBdr>
            <w:top w:val="none" w:sz="0" w:space="0" w:color="auto"/>
            <w:left w:val="none" w:sz="0" w:space="0" w:color="auto"/>
            <w:bottom w:val="none" w:sz="0" w:space="0" w:color="auto"/>
            <w:right w:val="none" w:sz="0" w:space="0" w:color="auto"/>
          </w:divBdr>
          <w:divsChild>
            <w:div w:id="200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8666">
      <w:bodyDiv w:val="1"/>
      <w:marLeft w:val="0"/>
      <w:marRight w:val="0"/>
      <w:marTop w:val="0"/>
      <w:marBottom w:val="0"/>
      <w:divBdr>
        <w:top w:val="none" w:sz="0" w:space="0" w:color="auto"/>
        <w:left w:val="none" w:sz="0" w:space="0" w:color="auto"/>
        <w:bottom w:val="none" w:sz="0" w:space="0" w:color="auto"/>
        <w:right w:val="none" w:sz="0" w:space="0" w:color="auto"/>
      </w:divBdr>
      <w:divsChild>
        <w:div w:id="1485732855">
          <w:marLeft w:val="0"/>
          <w:marRight w:val="0"/>
          <w:marTop w:val="0"/>
          <w:marBottom w:val="0"/>
          <w:divBdr>
            <w:top w:val="none" w:sz="0" w:space="0" w:color="3D3D3D"/>
            <w:left w:val="none" w:sz="0" w:space="0" w:color="3D3D3D"/>
            <w:bottom w:val="none" w:sz="0" w:space="0" w:color="3D3D3D"/>
            <w:right w:val="none" w:sz="0" w:space="0" w:color="3D3D3D"/>
          </w:divBdr>
          <w:divsChild>
            <w:div w:id="522406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1677654">
      <w:bodyDiv w:val="1"/>
      <w:marLeft w:val="0"/>
      <w:marRight w:val="0"/>
      <w:marTop w:val="0"/>
      <w:marBottom w:val="0"/>
      <w:divBdr>
        <w:top w:val="none" w:sz="0" w:space="0" w:color="auto"/>
        <w:left w:val="none" w:sz="0" w:space="0" w:color="auto"/>
        <w:bottom w:val="none" w:sz="0" w:space="0" w:color="auto"/>
        <w:right w:val="none" w:sz="0" w:space="0" w:color="auto"/>
      </w:divBdr>
      <w:divsChild>
        <w:div w:id="1065030259">
          <w:marLeft w:val="48"/>
          <w:marRight w:val="0"/>
          <w:marTop w:val="0"/>
          <w:marBottom w:val="0"/>
          <w:divBdr>
            <w:top w:val="none" w:sz="0" w:space="0" w:color="auto"/>
            <w:left w:val="none" w:sz="0" w:space="0" w:color="auto"/>
            <w:bottom w:val="none" w:sz="0" w:space="0" w:color="auto"/>
            <w:right w:val="none" w:sz="0" w:space="0" w:color="auto"/>
          </w:divBdr>
        </w:div>
      </w:divsChild>
    </w:div>
    <w:div w:id="1526483751">
      <w:bodyDiv w:val="1"/>
      <w:marLeft w:val="0"/>
      <w:marRight w:val="0"/>
      <w:marTop w:val="0"/>
      <w:marBottom w:val="0"/>
      <w:divBdr>
        <w:top w:val="none" w:sz="0" w:space="0" w:color="auto"/>
        <w:left w:val="none" w:sz="0" w:space="0" w:color="auto"/>
        <w:bottom w:val="none" w:sz="0" w:space="0" w:color="auto"/>
        <w:right w:val="none" w:sz="0" w:space="0" w:color="auto"/>
      </w:divBdr>
    </w:div>
    <w:div w:id="1660037024">
      <w:bodyDiv w:val="1"/>
      <w:marLeft w:val="0"/>
      <w:marRight w:val="0"/>
      <w:marTop w:val="0"/>
      <w:marBottom w:val="0"/>
      <w:divBdr>
        <w:top w:val="none" w:sz="0" w:space="0" w:color="auto"/>
        <w:left w:val="none" w:sz="0" w:space="0" w:color="auto"/>
        <w:bottom w:val="none" w:sz="0" w:space="0" w:color="auto"/>
        <w:right w:val="none" w:sz="0" w:space="0" w:color="auto"/>
      </w:divBdr>
    </w:div>
    <w:div w:id="1665357443">
      <w:bodyDiv w:val="1"/>
      <w:marLeft w:val="0"/>
      <w:marRight w:val="0"/>
      <w:marTop w:val="0"/>
      <w:marBottom w:val="0"/>
      <w:divBdr>
        <w:top w:val="none" w:sz="0" w:space="0" w:color="auto"/>
        <w:left w:val="none" w:sz="0" w:space="0" w:color="auto"/>
        <w:bottom w:val="none" w:sz="0" w:space="0" w:color="auto"/>
        <w:right w:val="none" w:sz="0" w:space="0" w:color="auto"/>
      </w:divBdr>
      <w:divsChild>
        <w:div w:id="1262953087">
          <w:marLeft w:val="0"/>
          <w:marRight w:val="0"/>
          <w:marTop w:val="0"/>
          <w:marBottom w:val="0"/>
          <w:divBdr>
            <w:top w:val="none" w:sz="0" w:space="0" w:color="3D3D3D"/>
            <w:left w:val="none" w:sz="0" w:space="0" w:color="3D3D3D"/>
            <w:bottom w:val="none" w:sz="0" w:space="0" w:color="3D3D3D"/>
            <w:right w:val="none" w:sz="0" w:space="0" w:color="3D3D3D"/>
          </w:divBdr>
          <w:divsChild>
            <w:div w:id="679656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6462021">
      <w:bodyDiv w:val="1"/>
      <w:marLeft w:val="0"/>
      <w:marRight w:val="0"/>
      <w:marTop w:val="0"/>
      <w:marBottom w:val="0"/>
      <w:divBdr>
        <w:top w:val="none" w:sz="0" w:space="0" w:color="auto"/>
        <w:left w:val="none" w:sz="0" w:space="0" w:color="auto"/>
        <w:bottom w:val="none" w:sz="0" w:space="0" w:color="auto"/>
        <w:right w:val="none" w:sz="0" w:space="0" w:color="auto"/>
      </w:divBdr>
      <w:divsChild>
        <w:div w:id="2059746100">
          <w:marLeft w:val="0"/>
          <w:marRight w:val="0"/>
          <w:marTop w:val="0"/>
          <w:marBottom w:val="0"/>
          <w:divBdr>
            <w:top w:val="none" w:sz="0" w:space="0" w:color="3D3D3D"/>
            <w:left w:val="none" w:sz="0" w:space="0" w:color="3D3D3D"/>
            <w:bottom w:val="none" w:sz="0" w:space="0" w:color="3D3D3D"/>
            <w:right w:val="none" w:sz="0" w:space="0" w:color="3D3D3D"/>
          </w:divBdr>
          <w:divsChild>
            <w:div w:id="12965286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9719047">
      <w:bodyDiv w:val="1"/>
      <w:marLeft w:val="0"/>
      <w:marRight w:val="0"/>
      <w:marTop w:val="0"/>
      <w:marBottom w:val="0"/>
      <w:divBdr>
        <w:top w:val="none" w:sz="0" w:space="0" w:color="auto"/>
        <w:left w:val="none" w:sz="0" w:space="0" w:color="auto"/>
        <w:bottom w:val="none" w:sz="0" w:space="0" w:color="auto"/>
        <w:right w:val="none" w:sz="0" w:space="0" w:color="auto"/>
      </w:divBdr>
      <w:divsChild>
        <w:div w:id="804934374">
          <w:marLeft w:val="48"/>
          <w:marRight w:val="0"/>
          <w:marTop w:val="0"/>
          <w:marBottom w:val="0"/>
          <w:divBdr>
            <w:top w:val="none" w:sz="0" w:space="0" w:color="auto"/>
            <w:left w:val="none" w:sz="0" w:space="0" w:color="auto"/>
            <w:bottom w:val="none" w:sz="0" w:space="0" w:color="auto"/>
            <w:right w:val="none" w:sz="0" w:space="0" w:color="auto"/>
          </w:divBdr>
        </w:div>
      </w:divsChild>
    </w:div>
    <w:div w:id="1771243982">
      <w:bodyDiv w:val="1"/>
      <w:marLeft w:val="0"/>
      <w:marRight w:val="0"/>
      <w:marTop w:val="0"/>
      <w:marBottom w:val="0"/>
      <w:divBdr>
        <w:top w:val="none" w:sz="0" w:space="0" w:color="auto"/>
        <w:left w:val="none" w:sz="0" w:space="0" w:color="auto"/>
        <w:bottom w:val="none" w:sz="0" w:space="0" w:color="auto"/>
        <w:right w:val="none" w:sz="0" w:space="0" w:color="auto"/>
      </w:divBdr>
      <w:divsChild>
        <w:div w:id="316616997">
          <w:marLeft w:val="0"/>
          <w:marRight w:val="0"/>
          <w:marTop w:val="0"/>
          <w:marBottom w:val="0"/>
          <w:divBdr>
            <w:top w:val="none" w:sz="0" w:space="0" w:color="3D3D3D"/>
            <w:left w:val="none" w:sz="0" w:space="0" w:color="3D3D3D"/>
            <w:bottom w:val="none" w:sz="0" w:space="0" w:color="3D3D3D"/>
            <w:right w:val="none" w:sz="0" w:space="0" w:color="3D3D3D"/>
          </w:divBdr>
          <w:divsChild>
            <w:div w:id="18724997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2895941">
      <w:bodyDiv w:val="1"/>
      <w:marLeft w:val="0"/>
      <w:marRight w:val="0"/>
      <w:marTop w:val="0"/>
      <w:marBottom w:val="0"/>
      <w:divBdr>
        <w:top w:val="none" w:sz="0" w:space="0" w:color="auto"/>
        <w:left w:val="none" w:sz="0" w:space="0" w:color="auto"/>
        <w:bottom w:val="none" w:sz="0" w:space="0" w:color="auto"/>
        <w:right w:val="none" w:sz="0" w:space="0" w:color="auto"/>
      </w:divBdr>
      <w:divsChild>
        <w:div w:id="261376541">
          <w:marLeft w:val="0"/>
          <w:marRight w:val="0"/>
          <w:marTop w:val="0"/>
          <w:marBottom w:val="0"/>
          <w:divBdr>
            <w:top w:val="none" w:sz="0" w:space="0" w:color="3D3D3D"/>
            <w:left w:val="none" w:sz="0" w:space="0" w:color="3D3D3D"/>
            <w:bottom w:val="none" w:sz="0" w:space="0" w:color="3D3D3D"/>
            <w:right w:val="none" w:sz="0" w:space="0" w:color="3D3D3D"/>
          </w:divBdr>
          <w:divsChild>
            <w:div w:id="3752770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7527238">
      <w:bodyDiv w:val="1"/>
      <w:marLeft w:val="0"/>
      <w:marRight w:val="0"/>
      <w:marTop w:val="0"/>
      <w:marBottom w:val="0"/>
      <w:divBdr>
        <w:top w:val="none" w:sz="0" w:space="0" w:color="auto"/>
        <w:left w:val="none" w:sz="0" w:space="0" w:color="auto"/>
        <w:bottom w:val="none" w:sz="0" w:space="0" w:color="auto"/>
        <w:right w:val="none" w:sz="0" w:space="0" w:color="auto"/>
      </w:divBdr>
    </w:div>
    <w:div w:id="1898399598">
      <w:bodyDiv w:val="1"/>
      <w:marLeft w:val="0"/>
      <w:marRight w:val="0"/>
      <w:marTop w:val="0"/>
      <w:marBottom w:val="0"/>
      <w:divBdr>
        <w:top w:val="none" w:sz="0" w:space="0" w:color="auto"/>
        <w:left w:val="none" w:sz="0" w:space="0" w:color="auto"/>
        <w:bottom w:val="none" w:sz="0" w:space="0" w:color="auto"/>
        <w:right w:val="none" w:sz="0" w:space="0" w:color="auto"/>
      </w:divBdr>
      <w:divsChild>
        <w:div w:id="279608582">
          <w:marLeft w:val="48"/>
          <w:marRight w:val="0"/>
          <w:marTop w:val="0"/>
          <w:marBottom w:val="0"/>
          <w:divBdr>
            <w:top w:val="none" w:sz="0" w:space="0" w:color="auto"/>
            <w:left w:val="none" w:sz="0" w:space="0" w:color="auto"/>
            <w:bottom w:val="none" w:sz="0" w:space="0" w:color="auto"/>
            <w:right w:val="none" w:sz="0" w:space="0" w:color="auto"/>
          </w:divBdr>
        </w:div>
      </w:divsChild>
    </w:div>
    <w:div w:id="1898666969">
      <w:bodyDiv w:val="1"/>
      <w:marLeft w:val="0"/>
      <w:marRight w:val="0"/>
      <w:marTop w:val="0"/>
      <w:marBottom w:val="0"/>
      <w:divBdr>
        <w:top w:val="none" w:sz="0" w:space="0" w:color="auto"/>
        <w:left w:val="none" w:sz="0" w:space="0" w:color="auto"/>
        <w:bottom w:val="none" w:sz="0" w:space="0" w:color="auto"/>
        <w:right w:val="none" w:sz="0" w:space="0" w:color="auto"/>
      </w:divBdr>
      <w:divsChild>
        <w:div w:id="1532648637">
          <w:marLeft w:val="0"/>
          <w:marRight w:val="0"/>
          <w:marTop w:val="0"/>
          <w:marBottom w:val="0"/>
          <w:divBdr>
            <w:top w:val="none" w:sz="0" w:space="0" w:color="3D3D3D"/>
            <w:left w:val="none" w:sz="0" w:space="0" w:color="3D3D3D"/>
            <w:bottom w:val="none" w:sz="0" w:space="0" w:color="3D3D3D"/>
            <w:right w:val="none" w:sz="0" w:space="0" w:color="3D3D3D"/>
          </w:divBdr>
          <w:divsChild>
            <w:div w:id="19706691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6672661">
      <w:bodyDiv w:val="1"/>
      <w:marLeft w:val="0"/>
      <w:marRight w:val="0"/>
      <w:marTop w:val="0"/>
      <w:marBottom w:val="0"/>
      <w:divBdr>
        <w:top w:val="none" w:sz="0" w:space="0" w:color="auto"/>
        <w:left w:val="none" w:sz="0" w:space="0" w:color="auto"/>
        <w:bottom w:val="none" w:sz="0" w:space="0" w:color="auto"/>
        <w:right w:val="none" w:sz="0" w:space="0" w:color="auto"/>
      </w:divBdr>
    </w:div>
    <w:div w:id="1941403250">
      <w:bodyDiv w:val="1"/>
      <w:marLeft w:val="0"/>
      <w:marRight w:val="0"/>
      <w:marTop w:val="0"/>
      <w:marBottom w:val="0"/>
      <w:divBdr>
        <w:top w:val="none" w:sz="0" w:space="0" w:color="auto"/>
        <w:left w:val="none" w:sz="0" w:space="0" w:color="auto"/>
        <w:bottom w:val="none" w:sz="0" w:space="0" w:color="auto"/>
        <w:right w:val="none" w:sz="0" w:space="0" w:color="auto"/>
      </w:divBdr>
      <w:divsChild>
        <w:div w:id="298462821">
          <w:marLeft w:val="0"/>
          <w:marRight w:val="0"/>
          <w:marTop w:val="0"/>
          <w:marBottom w:val="0"/>
          <w:divBdr>
            <w:top w:val="none" w:sz="0" w:space="0" w:color="3D3D3D"/>
            <w:left w:val="none" w:sz="0" w:space="0" w:color="3D3D3D"/>
            <w:bottom w:val="none" w:sz="0" w:space="0" w:color="3D3D3D"/>
            <w:right w:val="none" w:sz="0" w:space="0" w:color="3D3D3D"/>
          </w:divBdr>
          <w:divsChild>
            <w:div w:id="15045150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8075967">
      <w:bodyDiv w:val="1"/>
      <w:marLeft w:val="0"/>
      <w:marRight w:val="0"/>
      <w:marTop w:val="0"/>
      <w:marBottom w:val="0"/>
      <w:divBdr>
        <w:top w:val="none" w:sz="0" w:space="0" w:color="auto"/>
        <w:left w:val="none" w:sz="0" w:space="0" w:color="auto"/>
        <w:bottom w:val="none" w:sz="0" w:space="0" w:color="auto"/>
        <w:right w:val="none" w:sz="0" w:space="0" w:color="auto"/>
      </w:divBdr>
    </w:div>
    <w:div w:id="1962608526">
      <w:bodyDiv w:val="1"/>
      <w:marLeft w:val="0"/>
      <w:marRight w:val="0"/>
      <w:marTop w:val="0"/>
      <w:marBottom w:val="0"/>
      <w:divBdr>
        <w:top w:val="none" w:sz="0" w:space="0" w:color="auto"/>
        <w:left w:val="none" w:sz="0" w:space="0" w:color="auto"/>
        <w:bottom w:val="none" w:sz="0" w:space="0" w:color="auto"/>
        <w:right w:val="none" w:sz="0" w:space="0" w:color="auto"/>
      </w:divBdr>
      <w:divsChild>
        <w:div w:id="150171986">
          <w:marLeft w:val="0"/>
          <w:marRight w:val="0"/>
          <w:marTop w:val="0"/>
          <w:marBottom w:val="0"/>
          <w:divBdr>
            <w:top w:val="none" w:sz="0" w:space="0" w:color="3D3D3D"/>
            <w:left w:val="none" w:sz="0" w:space="0" w:color="3D3D3D"/>
            <w:bottom w:val="none" w:sz="0" w:space="0" w:color="3D3D3D"/>
            <w:right w:val="none" w:sz="0" w:space="0" w:color="3D3D3D"/>
          </w:divBdr>
          <w:divsChild>
            <w:div w:id="20192331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9111319">
      <w:bodyDiv w:val="1"/>
      <w:marLeft w:val="0"/>
      <w:marRight w:val="0"/>
      <w:marTop w:val="0"/>
      <w:marBottom w:val="0"/>
      <w:divBdr>
        <w:top w:val="none" w:sz="0" w:space="0" w:color="auto"/>
        <w:left w:val="none" w:sz="0" w:space="0" w:color="auto"/>
        <w:bottom w:val="none" w:sz="0" w:space="0" w:color="auto"/>
        <w:right w:val="none" w:sz="0" w:space="0" w:color="auto"/>
      </w:divBdr>
      <w:divsChild>
        <w:div w:id="1276669599">
          <w:marLeft w:val="0"/>
          <w:marRight w:val="0"/>
          <w:marTop w:val="0"/>
          <w:marBottom w:val="0"/>
          <w:divBdr>
            <w:top w:val="none" w:sz="0" w:space="0" w:color="auto"/>
            <w:left w:val="none" w:sz="0" w:space="0" w:color="auto"/>
            <w:bottom w:val="none" w:sz="0" w:space="0" w:color="auto"/>
            <w:right w:val="none" w:sz="0" w:space="0" w:color="auto"/>
          </w:divBdr>
          <w:divsChild>
            <w:div w:id="874973533">
              <w:marLeft w:val="0"/>
              <w:marRight w:val="0"/>
              <w:marTop w:val="0"/>
              <w:marBottom w:val="0"/>
              <w:divBdr>
                <w:top w:val="none" w:sz="0" w:space="0" w:color="auto"/>
                <w:left w:val="none" w:sz="0" w:space="0" w:color="auto"/>
                <w:bottom w:val="none" w:sz="0" w:space="0" w:color="auto"/>
                <w:right w:val="none" w:sz="0" w:space="0" w:color="auto"/>
              </w:divBdr>
            </w:div>
            <w:div w:id="1566717413">
              <w:marLeft w:val="0"/>
              <w:marRight w:val="0"/>
              <w:marTop w:val="0"/>
              <w:marBottom w:val="0"/>
              <w:divBdr>
                <w:top w:val="none" w:sz="0" w:space="0" w:color="auto"/>
                <w:left w:val="none" w:sz="0" w:space="0" w:color="auto"/>
                <w:bottom w:val="none" w:sz="0" w:space="0" w:color="auto"/>
                <w:right w:val="none" w:sz="0" w:space="0" w:color="auto"/>
              </w:divBdr>
              <w:divsChild>
                <w:div w:id="1535264121">
                  <w:marLeft w:val="0"/>
                  <w:marRight w:val="0"/>
                  <w:marTop w:val="0"/>
                  <w:marBottom w:val="0"/>
                  <w:divBdr>
                    <w:top w:val="none" w:sz="0" w:space="0" w:color="auto"/>
                    <w:left w:val="none" w:sz="0" w:space="0" w:color="auto"/>
                    <w:bottom w:val="none" w:sz="0" w:space="0" w:color="auto"/>
                    <w:right w:val="none" w:sz="0" w:space="0" w:color="auto"/>
                  </w:divBdr>
                </w:div>
              </w:divsChild>
            </w:div>
            <w:div w:id="1790204495">
              <w:marLeft w:val="0"/>
              <w:marRight w:val="0"/>
              <w:marTop w:val="240"/>
              <w:marBottom w:val="0"/>
              <w:divBdr>
                <w:top w:val="none" w:sz="0" w:space="0" w:color="auto"/>
                <w:left w:val="none" w:sz="0" w:space="0" w:color="auto"/>
                <w:bottom w:val="none" w:sz="0" w:space="0" w:color="auto"/>
                <w:right w:val="none" w:sz="0" w:space="0" w:color="auto"/>
              </w:divBdr>
              <w:divsChild>
                <w:div w:id="9550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7194">
      <w:bodyDiv w:val="1"/>
      <w:marLeft w:val="0"/>
      <w:marRight w:val="0"/>
      <w:marTop w:val="0"/>
      <w:marBottom w:val="0"/>
      <w:divBdr>
        <w:top w:val="none" w:sz="0" w:space="0" w:color="auto"/>
        <w:left w:val="none" w:sz="0" w:space="0" w:color="auto"/>
        <w:bottom w:val="none" w:sz="0" w:space="0" w:color="auto"/>
        <w:right w:val="none" w:sz="0" w:space="0" w:color="auto"/>
      </w:divBdr>
    </w:div>
    <w:div w:id="2028017698">
      <w:bodyDiv w:val="1"/>
      <w:marLeft w:val="0"/>
      <w:marRight w:val="0"/>
      <w:marTop w:val="0"/>
      <w:marBottom w:val="0"/>
      <w:divBdr>
        <w:top w:val="none" w:sz="0" w:space="0" w:color="auto"/>
        <w:left w:val="none" w:sz="0" w:space="0" w:color="auto"/>
        <w:bottom w:val="none" w:sz="0" w:space="0" w:color="auto"/>
        <w:right w:val="none" w:sz="0" w:space="0" w:color="auto"/>
      </w:divBdr>
      <w:divsChild>
        <w:div w:id="1900045175">
          <w:marLeft w:val="0"/>
          <w:marRight w:val="0"/>
          <w:marTop w:val="0"/>
          <w:marBottom w:val="0"/>
          <w:divBdr>
            <w:top w:val="none" w:sz="0" w:space="0" w:color="3D3D3D"/>
            <w:left w:val="none" w:sz="0" w:space="0" w:color="3D3D3D"/>
            <w:bottom w:val="none" w:sz="0" w:space="0" w:color="3D3D3D"/>
            <w:right w:val="none" w:sz="0" w:space="0" w:color="3D3D3D"/>
          </w:divBdr>
          <w:divsChild>
            <w:div w:id="20121713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0931803">
      <w:bodyDiv w:val="1"/>
      <w:marLeft w:val="0"/>
      <w:marRight w:val="0"/>
      <w:marTop w:val="0"/>
      <w:marBottom w:val="0"/>
      <w:divBdr>
        <w:top w:val="none" w:sz="0" w:space="0" w:color="auto"/>
        <w:left w:val="none" w:sz="0" w:space="0" w:color="auto"/>
        <w:bottom w:val="none" w:sz="0" w:space="0" w:color="auto"/>
        <w:right w:val="none" w:sz="0" w:space="0" w:color="auto"/>
      </w:divBdr>
      <w:divsChild>
        <w:div w:id="438915745">
          <w:marLeft w:val="0"/>
          <w:marRight w:val="0"/>
          <w:marTop w:val="0"/>
          <w:marBottom w:val="0"/>
          <w:divBdr>
            <w:top w:val="none" w:sz="0" w:space="0" w:color="3D3D3D"/>
            <w:left w:val="none" w:sz="0" w:space="0" w:color="3D3D3D"/>
            <w:bottom w:val="none" w:sz="0" w:space="0" w:color="3D3D3D"/>
            <w:right w:val="none" w:sz="0" w:space="0" w:color="3D3D3D"/>
          </w:divBdr>
          <w:divsChild>
            <w:div w:id="4644712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0225526">
      <w:bodyDiv w:val="1"/>
      <w:marLeft w:val="0"/>
      <w:marRight w:val="0"/>
      <w:marTop w:val="0"/>
      <w:marBottom w:val="0"/>
      <w:divBdr>
        <w:top w:val="none" w:sz="0" w:space="0" w:color="auto"/>
        <w:left w:val="none" w:sz="0" w:space="0" w:color="auto"/>
        <w:bottom w:val="none" w:sz="0" w:space="0" w:color="auto"/>
        <w:right w:val="none" w:sz="0" w:space="0" w:color="auto"/>
      </w:divBdr>
      <w:divsChild>
        <w:div w:id="556354061">
          <w:marLeft w:val="0"/>
          <w:marRight w:val="0"/>
          <w:marTop w:val="0"/>
          <w:marBottom w:val="0"/>
          <w:divBdr>
            <w:top w:val="none" w:sz="0" w:space="0" w:color="auto"/>
            <w:left w:val="none" w:sz="0" w:space="0" w:color="auto"/>
            <w:bottom w:val="none" w:sz="0" w:space="0" w:color="auto"/>
            <w:right w:val="none" w:sz="0" w:space="0" w:color="auto"/>
          </w:divBdr>
          <w:divsChild>
            <w:div w:id="848639523">
              <w:marLeft w:val="0"/>
              <w:marRight w:val="0"/>
              <w:marTop w:val="240"/>
              <w:marBottom w:val="0"/>
              <w:divBdr>
                <w:top w:val="none" w:sz="0" w:space="0" w:color="auto"/>
                <w:left w:val="none" w:sz="0" w:space="0" w:color="auto"/>
                <w:bottom w:val="none" w:sz="0" w:space="0" w:color="auto"/>
                <w:right w:val="none" w:sz="0" w:space="0" w:color="auto"/>
              </w:divBdr>
              <w:divsChild>
                <w:div w:id="1362512702">
                  <w:marLeft w:val="0"/>
                  <w:marRight w:val="0"/>
                  <w:marTop w:val="0"/>
                  <w:marBottom w:val="0"/>
                  <w:divBdr>
                    <w:top w:val="none" w:sz="0" w:space="0" w:color="auto"/>
                    <w:left w:val="none" w:sz="0" w:space="0" w:color="auto"/>
                    <w:bottom w:val="none" w:sz="0" w:space="0" w:color="auto"/>
                    <w:right w:val="none" w:sz="0" w:space="0" w:color="auto"/>
                  </w:divBdr>
                </w:div>
              </w:divsChild>
            </w:div>
            <w:div w:id="1475634242">
              <w:marLeft w:val="0"/>
              <w:marRight w:val="0"/>
              <w:marTop w:val="0"/>
              <w:marBottom w:val="0"/>
              <w:divBdr>
                <w:top w:val="none" w:sz="0" w:space="0" w:color="auto"/>
                <w:left w:val="none" w:sz="0" w:space="0" w:color="auto"/>
                <w:bottom w:val="none" w:sz="0" w:space="0" w:color="auto"/>
                <w:right w:val="none" w:sz="0" w:space="0" w:color="auto"/>
              </w:divBdr>
              <w:divsChild>
                <w:div w:id="1256982484">
                  <w:marLeft w:val="0"/>
                  <w:marRight w:val="0"/>
                  <w:marTop w:val="0"/>
                  <w:marBottom w:val="0"/>
                  <w:divBdr>
                    <w:top w:val="none" w:sz="0" w:space="0" w:color="auto"/>
                    <w:left w:val="none" w:sz="0" w:space="0" w:color="auto"/>
                    <w:bottom w:val="none" w:sz="0" w:space="0" w:color="auto"/>
                    <w:right w:val="none" w:sz="0" w:space="0" w:color="auto"/>
                  </w:divBdr>
                </w:div>
              </w:divsChild>
            </w:div>
            <w:div w:id="18586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7767">
      <w:bodyDiv w:val="1"/>
      <w:marLeft w:val="0"/>
      <w:marRight w:val="0"/>
      <w:marTop w:val="0"/>
      <w:marBottom w:val="0"/>
      <w:divBdr>
        <w:top w:val="none" w:sz="0" w:space="0" w:color="auto"/>
        <w:left w:val="none" w:sz="0" w:space="0" w:color="auto"/>
        <w:bottom w:val="none" w:sz="0" w:space="0" w:color="auto"/>
        <w:right w:val="none" w:sz="0" w:space="0" w:color="auto"/>
      </w:divBdr>
    </w:div>
    <w:div w:id="2106337508">
      <w:bodyDiv w:val="1"/>
      <w:marLeft w:val="0"/>
      <w:marRight w:val="0"/>
      <w:marTop w:val="0"/>
      <w:marBottom w:val="0"/>
      <w:divBdr>
        <w:top w:val="none" w:sz="0" w:space="0" w:color="auto"/>
        <w:left w:val="none" w:sz="0" w:space="0" w:color="auto"/>
        <w:bottom w:val="none" w:sz="0" w:space="0" w:color="auto"/>
        <w:right w:val="none" w:sz="0" w:space="0" w:color="auto"/>
      </w:divBdr>
      <w:divsChild>
        <w:div w:id="279148472">
          <w:marLeft w:val="0"/>
          <w:marRight w:val="0"/>
          <w:marTop w:val="0"/>
          <w:marBottom w:val="0"/>
          <w:divBdr>
            <w:top w:val="none" w:sz="0" w:space="0" w:color="3D3D3D"/>
            <w:left w:val="none" w:sz="0" w:space="0" w:color="3D3D3D"/>
            <w:bottom w:val="none" w:sz="0" w:space="0" w:color="3D3D3D"/>
            <w:right w:val="none" w:sz="0" w:space="0" w:color="3D3D3D"/>
          </w:divBdr>
          <w:divsChild>
            <w:div w:id="20426287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4081721">
      <w:bodyDiv w:val="1"/>
      <w:marLeft w:val="0"/>
      <w:marRight w:val="0"/>
      <w:marTop w:val="0"/>
      <w:marBottom w:val="0"/>
      <w:divBdr>
        <w:top w:val="none" w:sz="0" w:space="0" w:color="auto"/>
        <w:left w:val="none" w:sz="0" w:space="0" w:color="auto"/>
        <w:bottom w:val="none" w:sz="0" w:space="0" w:color="auto"/>
        <w:right w:val="none" w:sz="0" w:space="0" w:color="auto"/>
      </w:divBdr>
      <w:divsChild>
        <w:div w:id="1796022334">
          <w:marLeft w:val="0"/>
          <w:marRight w:val="0"/>
          <w:marTop w:val="0"/>
          <w:marBottom w:val="0"/>
          <w:divBdr>
            <w:top w:val="none" w:sz="0" w:space="0" w:color="3D3D3D"/>
            <w:left w:val="none" w:sz="0" w:space="0" w:color="3D3D3D"/>
            <w:bottom w:val="none" w:sz="0" w:space="0" w:color="3D3D3D"/>
            <w:right w:val="none" w:sz="0" w:space="0" w:color="3D3D3D"/>
          </w:divBdr>
          <w:divsChild>
            <w:div w:id="828330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44536048">
      <w:bodyDiv w:val="1"/>
      <w:marLeft w:val="0"/>
      <w:marRight w:val="0"/>
      <w:marTop w:val="0"/>
      <w:marBottom w:val="0"/>
      <w:divBdr>
        <w:top w:val="none" w:sz="0" w:space="0" w:color="auto"/>
        <w:left w:val="none" w:sz="0" w:space="0" w:color="auto"/>
        <w:bottom w:val="none" w:sz="0" w:space="0" w:color="auto"/>
        <w:right w:val="none" w:sz="0" w:space="0" w:color="auto"/>
      </w:divBdr>
      <w:divsChild>
        <w:div w:id="1962106713">
          <w:marLeft w:val="0"/>
          <w:marRight w:val="0"/>
          <w:marTop w:val="0"/>
          <w:marBottom w:val="0"/>
          <w:divBdr>
            <w:top w:val="none" w:sz="0" w:space="0" w:color="3D3D3D"/>
            <w:left w:val="none" w:sz="0" w:space="0" w:color="3D3D3D"/>
            <w:bottom w:val="none" w:sz="0" w:space="0" w:color="3D3D3D"/>
            <w:right w:val="none" w:sz="0" w:space="0" w:color="3D3D3D"/>
          </w:divBdr>
          <w:divsChild>
            <w:div w:id="47843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68E7-F445-A648-869D-C189CB53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37</Pages>
  <Words>5741</Words>
  <Characters>32724</Characters>
  <Application>Microsoft Macintosh Word</Application>
  <DocSecurity>0</DocSecurity>
  <PresentationFormat>
  </PresentationFormat>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38389</CharactersWithSpaces>
  <SharedDoc>false</SharedDoc>
  <HyperlinkBase/>
  <HLinks>
    <vt:vector size="66" baseType="variant">
      <vt:variant>
        <vt:i4>196617</vt:i4>
      </vt:variant>
      <vt:variant>
        <vt:i4>96</vt:i4>
      </vt:variant>
      <vt:variant>
        <vt:i4>0</vt:i4>
      </vt:variant>
      <vt:variant>
        <vt:i4>5</vt:i4>
      </vt:variant>
      <vt:variant>
        <vt:lpwstr>https://www.ca9.uscourts.gov/forms/form15.pdf</vt:lpwstr>
      </vt:variant>
      <vt:variant>
        <vt:lpwstr/>
      </vt:variant>
      <vt:variant>
        <vt:i4>7340158</vt:i4>
      </vt:variant>
      <vt:variant>
        <vt:i4>93</vt:i4>
      </vt:variant>
      <vt:variant>
        <vt:i4>0</vt:i4>
      </vt:variant>
      <vt:variant>
        <vt:i4>5</vt:i4>
      </vt:variant>
      <vt:variant>
        <vt:lpwstr>https://www.ca9.uscourts.gov/forms/form15.docx</vt:lpwstr>
      </vt:variant>
      <vt:variant>
        <vt:lpwstr/>
      </vt:variant>
      <vt:variant>
        <vt:i4>7405689</vt:i4>
      </vt:variant>
      <vt:variant>
        <vt:i4>90</vt:i4>
      </vt:variant>
      <vt:variant>
        <vt:i4>0</vt:i4>
      </vt:variant>
      <vt:variant>
        <vt:i4>5</vt:i4>
      </vt:variant>
      <vt:variant>
        <vt:lpwstr>https://cdn.ca9.uscourts.gov/datastore/uploads/forms/form25.pdf</vt:lpwstr>
      </vt:variant>
      <vt:variant>
        <vt:lpwstr/>
      </vt:variant>
      <vt:variant>
        <vt:i4>7536766</vt:i4>
      </vt:variant>
      <vt:variant>
        <vt:i4>87</vt:i4>
      </vt:variant>
      <vt:variant>
        <vt:i4>0</vt:i4>
      </vt:variant>
      <vt:variant>
        <vt:i4>5</vt:i4>
      </vt:variant>
      <vt:variant>
        <vt:lpwstr>https://www.ca9.uscourts.gov/forms/form25.docx</vt:lpwstr>
      </vt:variant>
      <vt:variant>
        <vt:lpwstr/>
      </vt:variant>
      <vt:variant>
        <vt:i4>196617</vt:i4>
      </vt:variant>
      <vt:variant>
        <vt:i4>84</vt:i4>
      </vt:variant>
      <vt:variant>
        <vt:i4>0</vt:i4>
      </vt:variant>
      <vt:variant>
        <vt:i4>5</vt:i4>
      </vt:variant>
      <vt:variant>
        <vt:lpwstr>https://www.ca9.uscourts.gov/forms/form15.pdf</vt:lpwstr>
      </vt:variant>
      <vt:variant>
        <vt:lpwstr/>
      </vt:variant>
      <vt:variant>
        <vt:i4>7340158</vt:i4>
      </vt:variant>
      <vt:variant>
        <vt:i4>81</vt:i4>
      </vt:variant>
      <vt:variant>
        <vt:i4>0</vt:i4>
      </vt:variant>
      <vt:variant>
        <vt:i4>5</vt:i4>
      </vt:variant>
      <vt:variant>
        <vt:lpwstr>https://www.ca9.uscourts.gov/forms/form15.docx</vt:lpwstr>
      </vt:variant>
      <vt:variant>
        <vt:lpwstr/>
      </vt:variant>
      <vt:variant>
        <vt:i4>524300</vt:i4>
      </vt:variant>
      <vt:variant>
        <vt:i4>78</vt:i4>
      </vt:variant>
      <vt:variant>
        <vt:i4>0</vt:i4>
      </vt:variant>
      <vt:variant>
        <vt:i4>5</vt:i4>
      </vt:variant>
      <vt:variant>
        <vt:lpwstr>https://www.ca9.uscourts.gov/forms/</vt:lpwstr>
      </vt:variant>
      <vt:variant>
        <vt:lpwstr>briefs</vt:lpwstr>
      </vt:variant>
      <vt:variant>
        <vt:i4>917526</vt:i4>
      </vt:variant>
      <vt:variant>
        <vt:i4>72</vt:i4>
      </vt:variant>
      <vt:variant>
        <vt:i4>0</vt:i4>
      </vt:variant>
      <vt:variant>
        <vt:i4>5</vt:i4>
      </vt:variant>
      <vt:variant>
        <vt:lpwstr>http://www.ca9.uscourts.gov/forms/form08instructions.pdf</vt:lpwstr>
      </vt:variant>
      <vt:variant>
        <vt:lpwstr/>
      </vt:variant>
      <vt:variant>
        <vt:i4>524300</vt:i4>
      </vt:variant>
      <vt:variant>
        <vt:i4>69</vt:i4>
      </vt:variant>
      <vt:variant>
        <vt:i4>0</vt:i4>
      </vt:variant>
      <vt:variant>
        <vt:i4>5</vt:i4>
      </vt:variant>
      <vt:variant>
        <vt:lpwstr>https://www.ca9.uscourts.gov/forms/</vt:lpwstr>
      </vt:variant>
      <vt:variant>
        <vt:lpwstr>briefs</vt:lpwstr>
      </vt:variant>
      <vt:variant>
        <vt:i4>65559</vt:i4>
      </vt:variant>
      <vt:variant>
        <vt:i4>66</vt:i4>
      </vt:variant>
      <vt:variant>
        <vt:i4>0</vt:i4>
      </vt:variant>
      <vt:variant>
        <vt:i4>5</vt:i4>
      </vt:variant>
      <vt:variant>
        <vt:lpwstr>http://www.ca9.uscourts.gov/forms/form17instructions.pdf</vt:lpwstr>
      </vt:variant>
      <vt:variant>
        <vt:lpwstr/>
      </vt:variant>
      <vt:variant>
        <vt:i4>3211353</vt:i4>
      </vt:variant>
      <vt:variant>
        <vt:i4>63</vt:i4>
      </vt:variant>
      <vt:variant>
        <vt:i4>0</vt:i4>
      </vt:variant>
      <vt:variant>
        <vt:i4>5</vt:i4>
      </vt:variant>
      <vt:variant>
        <vt:lpwstr>http://www.ca9.uscourts.gov/content/view.php?pk_id=0000000368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Garza</dc:creator>
  <cp:keywords/>
  <cp:lastModifiedBy>Ethan Leib</cp:lastModifiedBy>
  <cp:revision>38</cp:revision>
  <dcterms:created xsi:type="dcterms:W3CDTF">2025-07-14T16:27:00Z</dcterms:created>
  <dcterms:modified xsi:type="dcterms:W3CDTF">2025-07-14T19:50:00Z</dcterms:modified>
  <dc:language/>
  <cp:version/>
</cp:coreProperties>
</file>